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9FF06">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bookmarkStart w:id="9" w:name="_GoBack"/>
      <w:r>
        <w:rPr>
          <w:rFonts w:hint="default" w:ascii="Times New Roman Regular" w:hAnsi="Times New Roman Regular" w:eastAsia="黑体" w:cs="Times New Roman Regular"/>
          <w:b w:val="0"/>
          <w:bCs w:val="0"/>
          <w:sz w:val="32"/>
          <w:szCs w:val="32"/>
          <w:lang w:val="en-US" w:eastAsia="zh-CN"/>
        </w:rPr>
        <w:t>附件1</w:t>
      </w:r>
    </w:p>
    <w:p w14:paraId="3CA8B5F2">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p>
    <w:p w14:paraId="14BBBF12">
      <w:pPr>
        <w:keepNext w:val="0"/>
        <w:keepLines w:val="0"/>
        <w:pageBreakBefore w:val="0"/>
        <w:widowControl w:val="0"/>
        <w:kinsoku/>
        <w:wordWrap/>
        <w:overflowPunct/>
        <w:topLinePunct w:val="0"/>
        <w:bidi w:val="0"/>
        <w:adjustRightInd/>
        <w:snapToGrid w:val="0"/>
        <w:spacing w:line="560" w:lineRule="exact"/>
        <w:ind w:left="0" w:leftChars="0"/>
        <w:jc w:val="center"/>
        <w:textAlignment w:val="auto"/>
        <w:rPr>
          <w:rFonts w:hint="default" w:ascii="Times New Roman Regular" w:hAnsi="Times New Roman Regular" w:eastAsia="方正小标宋简体" w:cs="Times New Roman Regular"/>
          <w:b w:val="0"/>
          <w:bCs w:val="0"/>
          <w:sz w:val="44"/>
          <w:szCs w:val="44"/>
          <w:lang w:val="en-US" w:eastAsia="zh-CN"/>
        </w:rPr>
      </w:pPr>
      <w:r>
        <w:rPr>
          <w:rFonts w:hint="default" w:ascii="Times New Roman Regular" w:hAnsi="Times New Roman Regular" w:eastAsia="方正小标宋简体" w:cs="Times New Roman Regular"/>
          <w:b w:val="0"/>
          <w:bCs w:val="0"/>
          <w:sz w:val="44"/>
          <w:szCs w:val="44"/>
          <w:lang w:val="en-US" w:eastAsia="zh-CN"/>
        </w:rPr>
        <w:t>第十四届中国创新创业大赛颠覆性技术</w:t>
      </w:r>
    </w:p>
    <w:p w14:paraId="658AA054">
      <w:pPr>
        <w:keepNext w:val="0"/>
        <w:keepLines w:val="0"/>
        <w:pageBreakBefore w:val="0"/>
        <w:widowControl w:val="0"/>
        <w:kinsoku/>
        <w:wordWrap/>
        <w:overflowPunct/>
        <w:topLinePunct w:val="0"/>
        <w:bidi w:val="0"/>
        <w:adjustRightInd/>
        <w:snapToGrid w:val="0"/>
        <w:spacing w:line="560" w:lineRule="exact"/>
        <w:ind w:left="0" w:leftChars="0"/>
        <w:jc w:val="center"/>
        <w:textAlignment w:val="auto"/>
        <w:rPr>
          <w:rFonts w:hint="default" w:ascii="Times New Roman Regular" w:hAnsi="Times New Roman Regular" w:eastAsia="方正小标宋简体" w:cs="Times New Roman Regular"/>
          <w:b w:val="0"/>
          <w:bCs w:val="0"/>
          <w:color w:val="000000"/>
          <w:kern w:val="2"/>
          <w:sz w:val="44"/>
          <w:szCs w:val="44"/>
          <w:highlight w:val="none"/>
          <w:lang w:val="en-US" w:eastAsia="zh-CN" w:bidi="ar-SA"/>
        </w:rPr>
      </w:pPr>
      <w:r>
        <w:rPr>
          <w:rFonts w:hint="default" w:ascii="Times New Roman Regular" w:hAnsi="Times New Roman Regular" w:eastAsia="方正小标宋简体" w:cs="Times New Roman Regular"/>
          <w:b w:val="0"/>
          <w:bCs w:val="0"/>
          <w:sz w:val="44"/>
          <w:szCs w:val="44"/>
          <w:lang w:val="en-US" w:eastAsia="zh-CN"/>
        </w:rPr>
        <w:t>创新大赛（未来制造领域赛）组织方案</w:t>
      </w:r>
      <w:bookmarkEnd w:id="9"/>
    </w:p>
    <w:p w14:paraId="2C31A11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仿宋_GB2312" w:cs="Times New Roman Regular"/>
          <w:b w:val="0"/>
          <w:bCs w:val="0"/>
          <w:sz w:val="32"/>
          <w:szCs w:val="32"/>
          <w:highlight w:val="none"/>
          <w:u w:val="none"/>
          <w:lang w:val="en-US" w:eastAsia="zh-CN"/>
        </w:rPr>
      </w:pPr>
    </w:p>
    <w:p w14:paraId="4F343BA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仿宋_GB2312" w:cs="Times New Roman Regular"/>
          <w:b w:val="0"/>
          <w:bCs w:val="0"/>
          <w:color w:val="000000"/>
          <w:sz w:val="32"/>
          <w:szCs w:val="32"/>
          <w:highlight w:val="none"/>
        </w:rPr>
      </w:pPr>
      <w:r>
        <w:rPr>
          <w:rFonts w:hint="default" w:ascii="Times New Roman Regular" w:hAnsi="Times New Roman Regular" w:eastAsia="仿宋_GB2312" w:cs="Times New Roman Regular"/>
          <w:b w:val="0"/>
          <w:bCs w:val="0"/>
          <w:sz w:val="32"/>
          <w:szCs w:val="32"/>
          <w:highlight w:val="none"/>
          <w:u w:val="none"/>
          <w:lang w:val="en-US" w:eastAsia="zh-CN"/>
        </w:rPr>
        <w:t>为深入贯彻落实党中央、国务院关于推动科技创新和产业创新深度融合的决策部署，强化企业创新主体地位，</w:t>
      </w:r>
      <w:r>
        <w:rPr>
          <w:rFonts w:hint="default" w:ascii="Times New Roman Regular" w:hAnsi="Times New Roman Regular" w:eastAsia="仿宋_GB2312" w:cs="Times New Roman Regular"/>
          <w:b w:val="0"/>
          <w:bCs w:val="0"/>
          <w:color w:val="000000"/>
          <w:sz w:val="32"/>
          <w:szCs w:val="32"/>
          <w:highlight w:val="none"/>
        </w:rPr>
        <w:t>深入推进颠覆性技术创新工作，</w:t>
      </w:r>
      <w:r>
        <w:rPr>
          <w:rFonts w:hint="default" w:ascii="Times New Roman Regular" w:hAnsi="Times New Roman Regular" w:eastAsia="仿宋_GB2312" w:cs="Times New Roman Regular"/>
          <w:b w:val="0"/>
          <w:bCs w:val="0"/>
          <w:color w:val="000000"/>
          <w:sz w:val="32"/>
          <w:szCs w:val="32"/>
          <w:highlight w:val="none"/>
          <w:lang w:val="en-US" w:eastAsia="zh-CN"/>
        </w:rPr>
        <w:t>青岛市科技局、青岛</w:t>
      </w:r>
      <w:r>
        <w:rPr>
          <w:rFonts w:hint="default" w:ascii="Times New Roman Regular" w:hAnsi="Times New Roman Regular" w:eastAsia="仿宋_GB2312" w:cs="Times New Roman Regular"/>
          <w:b w:val="0"/>
          <w:bCs w:val="0"/>
          <w:color w:val="000000"/>
          <w:spacing w:val="0"/>
          <w:sz w:val="32"/>
          <w:szCs w:val="32"/>
          <w:highlight w:val="none"/>
          <w:shd w:val="clear" w:color="auto" w:fill="auto"/>
          <w:lang w:val="en-US" w:eastAsia="zh-CN"/>
        </w:rPr>
        <w:t>高新区承办第十四届中国创新创业大赛颠覆性技术创新大赛（未来制造领域赛）</w:t>
      </w:r>
      <w:r>
        <w:rPr>
          <w:rFonts w:hint="default" w:ascii="Times New Roman Regular" w:hAnsi="Times New Roman Regular" w:eastAsia="仿宋_GB2312" w:cs="Times New Roman Regular"/>
          <w:b w:val="0"/>
          <w:bCs w:val="0"/>
          <w:color w:val="000000"/>
          <w:spacing w:val="0"/>
          <w:sz w:val="32"/>
          <w:szCs w:val="32"/>
          <w:highlight w:val="none"/>
          <w:shd w:val="clear" w:color="auto" w:fill="auto"/>
        </w:rPr>
        <w:t>（以下简称“</w:t>
      </w:r>
      <w:r>
        <w:rPr>
          <w:rFonts w:hint="default" w:ascii="Times New Roman Regular" w:hAnsi="Times New Roman Regular" w:eastAsia="仿宋_GB2312" w:cs="Times New Roman Regular"/>
          <w:b w:val="0"/>
          <w:bCs w:val="0"/>
          <w:color w:val="000000"/>
          <w:spacing w:val="0"/>
          <w:sz w:val="32"/>
          <w:szCs w:val="32"/>
          <w:highlight w:val="none"/>
          <w:shd w:val="clear" w:color="auto" w:fill="auto"/>
          <w:lang w:val="en-US" w:eastAsia="zh-CN"/>
        </w:rPr>
        <w:t>领域赛</w:t>
      </w:r>
      <w:r>
        <w:rPr>
          <w:rFonts w:hint="default" w:ascii="Times New Roman Regular" w:hAnsi="Times New Roman Regular" w:eastAsia="仿宋_GB2312" w:cs="Times New Roman Regular"/>
          <w:b w:val="0"/>
          <w:bCs w:val="0"/>
          <w:color w:val="000000"/>
          <w:spacing w:val="0"/>
          <w:sz w:val="32"/>
          <w:szCs w:val="32"/>
          <w:highlight w:val="none"/>
          <w:shd w:val="clear" w:color="auto" w:fill="auto"/>
        </w:rPr>
        <w:t>”）。现将有关事项通知如下。</w:t>
      </w:r>
    </w:p>
    <w:p w14:paraId="21A0224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Regular" w:hAnsi="Times New Roman Regular" w:eastAsia="黑体" w:cs="Times New Roman Regular"/>
          <w:b w:val="0"/>
          <w:bCs w:val="0"/>
          <w:color w:val="000000"/>
          <w:kern w:val="2"/>
          <w:sz w:val="32"/>
          <w:szCs w:val="24"/>
          <w:highlight w:val="none"/>
          <w:lang w:val="en-US" w:eastAsia="zh-CN" w:bidi="ar-SA"/>
        </w:rPr>
      </w:pPr>
      <w:bookmarkStart w:id="0" w:name="_Toc26032"/>
      <w:r>
        <w:rPr>
          <w:rFonts w:hint="default" w:ascii="Times New Roman Regular" w:hAnsi="Times New Roman Regular" w:eastAsia="黑体" w:cs="Times New Roman Regular"/>
          <w:b w:val="0"/>
          <w:bCs w:val="0"/>
          <w:color w:val="000000"/>
          <w:kern w:val="2"/>
          <w:sz w:val="32"/>
          <w:szCs w:val="24"/>
          <w:highlight w:val="none"/>
          <w:lang w:val="en-US" w:eastAsia="zh-CN" w:bidi="ar-SA"/>
        </w:rPr>
        <w:t>一、指导思想</w:t>
      </w:r>
      <w:bookmarkEnd w:id="0"/>
    </w:p>
    <w:p w14:paraId="3D037D19">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highlight w:val="none"/>
          <w:u w:val="none"/>
          <w:lang w:val="en-US" w:eastAsia="zh-CN"/>
        </w:rPr>
      </w:pPr>
      <w:bookmarkStart w:id="1" w:name="_Toc3110"/>
      <w:r>
        <w:rPr>
          <w:rFonts w:hint="default" w:ascii="Times New Roman Regular" w:hAnsi="Times New Roman Regular" w:eastAsia="仿宋_GB2312" w:cs="Times New Roman Regular"/>
          <w:b w:val="0"/>
          <w:bCs w:val="0"/>
          <w:sz w:val="32"/>
          <w:szCs w:val="32"/>
          <w:highlight w:val="none"/>
          <w:u w:val="none"/>
          <w:lang w:val="en-US" w:eastAsia="zh-CN"/>
        </w:rPr>
        <w:t>中国创新创业大赛颠覆性技术创新大赛以习近平新时代中国特色社会主义思想为指导，是全面贯彻党的二十大和二十届三中全会精神，落实《工业和信息化部等七部门关于推动未来产业创新发展的实施意见》（工信部联科〔2024〕12号）有关部署的重要举措。加强颠覆性技术创新，推进未来产业前瞻布局，促进各类先进生产要素向发展新质生产力集聚，带动我国原始创新能力和产业竞争力提升，推动科技创新与产业创新深度融合。</w:t>
      </w:r>
    </w:p>
    <w:p w14:paraId="08A7103F">
      <w:pPr>
        <w:keepNext w:val="0"/>
        <w:keepLines w:val="0"/>
        <w:pageBreakBefore w:val="0"/>
        <w:numPr>
          <w:ilvl w:val="0"/>
          <w:numId w:val="0"/>
        </w:numPr>
        <w:suppressAutoHyphens/>
        <w:kinsoku/>
        <w:wordWrap/>
        <w:overflowPunct/>
        <w:topLinePunct w:val="0"/>
        <w:bidi w:val="0"/>
        <w:adjustRightInd/>
        <w:snapToGrid w:val="0"/>
        <w:spacing w:line="560" w:lineRule="exact"/>
        <w:ind w:firstLine="640" w:firstLineChars="200"/>
        <w:jc w:val="both"/>
        <w:textAlignment w:val="auto"/>
        <w:outlineLvl w:val="0"/>
        <w:rPr>
          <w:rFonts w:hint="default" w:ascii="Times New Roman Regular" w:hAnsi="Times New Roman Regular" w:eastAsia="黑体" w:cs="Times New Roman Regular"/>
          <w:b w:val="0"/>
          <w:bCs w:val="0"/>
          <w:color w:val="000000"/>
          <w:sz w:val="32"/>
          <w:highlight w:val="none"/>
        </w:rPr>
      </w:pPr>
      <w:r>
        <w:rPr>
          <w:rFonts w:hint="default" w:ascii="Times New Roman Regular" w:hAnsi="Times New Roman Regular" w:eastAsia="黑体" w:cs="Times New Roman Regular"/>
          <w:b w:val="0"/>
          <w:bCs w:val="0"/>
          <w:color w:val="000000"/>
          <w:sz w:val="32"/>
          <w:highlight w:val="none"/>
          <w:lang w:val="en-US" w:eastAsia="zh-CN"/>
        </w:rPr>
        <w:t>二、</w:t>
      </w:r>
      <w:r>
        <w:rPr>
          <w:rFonts w:hint="default" w:ascii="Times New Roman Regular" w:hAnsi="Times New Roman Regular" w:eastAsia="黑体" w:cs="Times New Roman Regular"/>
          <w:b w:val="0"/>
          <w:bCs w:val="0"/>
          <w:color w:val="000000"/>
          <w:sz w:val="32"/>
          <w:highlight w:val="none"/>
        </w:rPr>
        <w:t>赛事总体安排</w:t>
      </w:r>
      <w:bookmarkEnd w:id="1"/>
    </w:p>
    <w:p w14:paraId="12707FF5">
      <w:pPr>
        <w:keepNext w:val="0"/>
        <w:keepLines w:val="0"/>
        <w:pageBreakBefore w:val="0"/>
        <w:widowControl/>
        <w:numPr>
          <w:ilvl w:val="0"/>
          <w:numId w:val="0"/>
        </w:numPr>
        <w:kinsoku/>
        <w:wordWrap/>
        <w:overflowPunct/>
        <w:topLinePunct w:val="0"/>
        <w:bidi w:val="0"/>
        <w:adjustRightInd/>
        <w:snapToGrid w:val="0"/>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32"/>
          <w:highlight w:val="none"/>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领域赛采用“公开海选”方式，面向社会公开征集具有颠覆性技术苗头的项目参赛，通过层层筛选和项目比拼，</w:t>
      </w:r>
      <w:r>
        <w:rPr>
          <w:rFonts w:hint="default" w:ascii="Times New Roman Regular" w:hAnsi="Times New Roman Regular" w:eastAsia="仿宋_GB2312" w:cs="Times New Roman Regular"/>
          <w:b w:val="0"/>
          <w:bCs w:val="0"/>
          <w:kern w:val="2"/>
          <w:sz w:val="32"/>
          <w:szCs w:val="32"/>
          <w:highlight w:val="none"/>
          <w:lang w:val="en-US" w:eastAsia="zh-CN" w:bidi="ar-SA"/>
        </w:rPr>
        <w:t>优胜项目进入决赛</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。符合参赛条件的单位统一登录中国创新创业大赛网站（</w:t>
      </w:r>
      <w:r>
        <w:rPr>
          <w:rFonts w:hint="default" w:ascii="Times New Roman Regular" w:hAnsi="Times New Roman Regular" w:eastAsia="仿宋_GB2312" w:cs="Times New Roman Regular"/>
          <w:b w:val="0"/>
          <w:bCs w:val="0"/>
          <w:kern w:val="2"/>
          <w:sz w:val="32"/>
          <w:szCs w:val="32"/>
          <w:highlight w:val="none"/>
          <w:lang w:val="en-US" w:eastAsia="zh-CN" w:bidi="ar-SA"/>
        </w:rPr>
        <w:t>http://www.cxcyds.com</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w:t>
      </w:r>
      <w:r>
        <w:rPr>
          <w:rFonts w:hint="default" w:ascii="Times New Roman Regular" w:hAnsi="Times New Roman Regular" w:eastAsia="仿宋_GB2312" w:cs="Times New Roman Regular"/>
          <w:b w:val="0"/>
          <w:bCs w:val="0"/>
          <w:kern w:val="2"/>
          <w:sz w:val="32"/>
          <w:szCs w:val="32"/>
          <w:highlight w:val="none"/>
          <w:lang w:val="en-US" w:eastAsia="zh-CN" w:bidi="ar-SA"/>
        </w:rPr>
        <w:t>—专业赛事—颠覆性技术创新大赛入口报名参赛。同一参赛单位（大专院校除外）仅可报名1个项目参赛；大专院校报名项目总数量不超过3个。</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比赛不向参赛单位收取任何费用。</w:t>
      </w:r>
    </w:p>
    <w:p w14:paraId="6F02BD65">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outlineLvl w:val="0"/>
        <w:rPr>
          <w:rFonts w:hint="default" w:ascii="Times New Roman Regular" w:hAnsi="Times New Roman Regular" w:eastAsia="黑体" w:cs="Times New Roman Regular"/>
          <w:b w:val="0"/>
          <w:bCs w:val="0"/>
          <w:color w:val="000000"/>
          <w:sz w:val="32"/>
          <w:szCs w:val="32"/>
          <w:highlight w:val="none"/>
        </w:rPr>
      </w:pPr>
      <w:bookmarkStart w:id="2" w:name="_Toc14189"/>
      <w:r>
        <w:rPr>
          <w:rFonts w:hint="default" w:ascii="Times New Roman Regular" w:hAnsi="Times New Roman Regular" w:eastAsia="黑体" w:cs="Times New Roman Regular"/>
          <w:b w:val="0"/>
          <w:bCs w:val="0"/>
          <w:sz w:val="32"/>
          <w:highlight w:val="none"/>
        </w:rPr>
        <w:t>三、</w:t>
      </w:r>
      <w:r>
        <w:rPr>
          <w:rFonts w:hint="default" w:ascii="Times New Roman Regular" w:hAnsi="Times New Roman Regular" w:eastAsia="黑体" w:cs="Times New Roman Regular"/>
          <w:b w:val="0"/>
          <w:bCs w:val="0"/>
          <w:color w:val="000000"/>
          <w:sz w:val="32"/>
          <w:highlight w:val="none"/>
        </w:rPr>
        <w:t>组织机构</w:t>
      </w:r>
      <w:bookmarkEnd w:id="2"/>
    </w:p>
    <w:p w14:paraId="7F376BE0">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outlineLvl w:val="1"/>
        <w:rPr>
          <w:rFonts w:hint="default" w:ascii="Times New Roman Regular" w:hAnsi="Times New Roman Regular" w:eastAsia="楷体_GB2312" w:cs="Times New Roman Regular"/>
          <w:b w:val="0"/>
          <w:bCs w:val="0"/>
          <w:color w:val="000000"/>
          <w:sz w:val="32"/>
          <w:szCs w:val="32"/>
          <w:highlight w:val="none"/>
        </w:rPr>
      </w:pPr>
      <w:bookmarkStart w:id="3" w:name="_Toc29138"/>
      <w:r>
        <w:rPr>
          <w:rFonts w:hint="default" w:ascii="Times New Roman Regular" w:hAnsi="Times New Roman Regular" w:eastAsia="楷体_GB2312" w:cs="Times New Roman Regular"/>
          <w:b w:val="0"/>
          <w:bCs w:val="0"/>
          <w:color w:val="000000"/>
          <w:sz w:val="32"/>
          <w:szCs w:val="32"/>
          <w:highlight w:val="none"/>
        </w:rPr>
        <w:t>（一）参与单位</w:t>
      </w:r>
      <w:bookmarkEnd w:id="3"/>
    </w:p>
    <w:p w14:paraId="40F8D5DD">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kern w:val="0"/>
          <w:sz w:val="32"/>
          <w:szCs w:val="32"/>
        </w:rPr>
        <w:t>主办单位：工业和信息化部火炬高技术产业开发中心</w:t>
      </w:r>
    </w:p>
    <w:p w14:paraId="32D92872">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承办单位：青岛市科学技术局</w:t>
      </w:r>
    </w:p>
    <w:p w14:paraId="567CBF23">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青岛高新技术产业开发区管理委员会</w:t>
      </w:r>
    </w:p>
    <w:p w14:paraId="74873398">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支持单位：新华社中国经济信息社</w:t>
      </w:r>
    </w:p>
    <w:p w14:paraId="44C312D0">
      <w:pPr>
        <w:snapToGrid w:val="0"/>
        <w:spacing w:line="560" w:lineRule="exact"/>
        <w:ind w:firstLine="2240" w:firstLineChars="7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交通银行股份有限公司</w:t>
      </w:r>
    </w:p>
    <w:p w14:paraId="74DBD218">
      <w:pPr>
        <w:snapToGrid w:val="0"/>
        <w:spacing w:line="560" w:lineRule="exact"/>
        <w:ind w:firstLine="2240" w:firstLineChars="7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京津冀国家技术创新中心</w:t>
      </w:r>
    </w:p>
    <w:p w14:paraId="6B7B7E9B">
      <w:pPr>
        <w:snapToGrid w:val="0"/>
        <w:spacing w:line="560" w:lineRule="exact"/>
        <w:ind w:firstLine="2240" w:firstLineChars="700"/>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sz w:val="32"/>
          <w:szCs w:val="32"/>
          <w:lang w:val="en-US" w:eastAsia="zh-CN"/>
        </w:rPr>
        <w:t>中科创星科技投资有限公司</w:t>
      </w:r>
    </w:p>
    <w:p w14:paraId="1DFDF621">
      <w:pPr>
        <w:keepNext w:val="0"/>
        <w:keepLines w:val="0"/>
        <w:pageBreakBefore w:val="0"/>
        <w:widowControl w:val="0"/>
        <w:kinsoku/>
        <w:wordWrap/>
        <w:overflowPunct/>
        <w:topLinePunct w:val="0"/>
        <w:bidi w:val="0"/>
        <w:adjustRightInd/>
        <w:snapToGrid w:val="0"/>
        <w:spacing w:line="560" w:lineRule="exact"/>
        <w:ind w:left="0" w:leftChars="0" w:firstLine="640" w:firstLineChars="200"/>
        <w:jc w:val="both"/>
        <w:textAlignment w:val="auto"/>
        <w:outlineLvl w:val="0"/>
        <w:rPr>
          <w:rFonts w:hint="default" w:ascii="Times New Roman Regular" w:hAnsi="Times New Roman Regular" w:eastAsia="黑体" w:cs="Times New Roman Regular"/>
          <w:b w:val="0"/>
          <w:bCs w:val="0"/>
          <w:color w:val="000000"/>
          <w:kern w:val="2"/>
          <w:sz w:val="32"/>
          <w:szCs w:val="24"/>
          <w:highlight w:val="none"/>
          <w:lang w:val="en-US" w:eastAsia="zh-CN" w:bidi="ar-SA"/>
        </w:rPr>
      </w:pPr>
      <w:bookmarkStart w:id="4" w:name="_Toc23530"/>
      <w:r>
        <w:rPr>
          <w:rFonts w:hint="default" w:ascii="Times New Roman Regular" w:hAnsi="Times New Roman Regular" w:eastAsia="黑体" w:cs="Times New Roman Regular"/>
          <w:b w:val="0"/>
          <w:bCs w:val="0"/>
          <w:kern w:val="2"/>
          <w:sz w:val="32"/>
          <w:szCs w:val="24"/>
          <w:highlight w:val="none"/>
          <w:lang w:val="en-US" w:eastAsia="zh-CN" w:bidi="ar-SA"/>
        </w:rPr>
        <w:t>四、</w:t>
      </w:r>
      <w:r>
        <w:rPr>
          <w:rFonts w:hint="default" w:ascii="Times New Roman Regular" w:hAnsi="Times New Roman Regular" w:eastAsia="黑体" w:cs="Times New Roman Regular"/>
          <w:b w:val="0"/>
          <w:bCs w:val="0"/>
          <w:color w:val="000000"/>
          <w:kern w:val="2"/>
          <w:sz w:val="32"/>
          <w:szCs w:val="24"/>
          <w:highlight w:val="none"/>
          <w:lang w:val="en-US" w:eastAsia="zh-CN" w:bidi="ar-SA"/>
        </w:rPr>
        <w:t>参赛要求</w:t>
      </w:r>
      <w:bookmarkEnd w:id="4"/>
    </w:p>
    <w:p w14:paraId="5B62A72E">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outlineLvl w:val="1"/>
        <w:rPr>
          <w:rFonts w:hint="default" w:ascii="Times New Roman Regular" w:hAnsi="Times New Roman Regular" w:eastAsia="楷体_GB2312" w:cs="Times New Roman Regular"/>
          <w:b w:val="0"/>
          <w:bCs w:val="0"/>
          <w:color w:val="000000"/>
          <w:sz w:val="32"/>
          <w:szCs w:val="32"/>
          <w:highlight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（一）参赛单位要求。</w:t>
      </w:r>
    </w:p>
    <w:p w14:paraId="6FE7613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参赛单位应是具有独立法人资格的企事业单位等，经营规范、社会信誉良好、无知识产权纠纷，且具有较强的创新能力和一定的项目实施条件。</w:t>
      </w:r>
    </w:p>
    <w:p w14:paraId="04C94A9D">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outlineLvl w:val="1"/>
        <w:rPr>
          <w:rFonts w:hint="default" w:ascii="Times New Roman Regular" w:hAnsi="Times New Roman Regular" w:eastAsia="楷体_GB2312" w:cs="Times New Roman Regular"/>
          <w:b w:val="0"/>
          <w:bCs w:val="0"/>
          <w:color w:val="000000"/>
          <w:sz w:val="32"/>
          <w:szCs w:val="32"/>
          <w:highlight w:val="none"/>
          <w:lang w:val="en-US" w:eastAsia="zh-CN"/>
        </w:rPr>
      </w:pPr>
      <w:bookmarkStart w:id="5" w:name="_Toc22388"/>
      <w:r>
        <w:rPr>
          <w:rFonts w:hint="default" w:ascii="Times New Roman Regular" w:hAnsi="Times New Roman Regular" w:eastAsia="楷体_GB2312" w:cs="Times New Roman Regular"/>
          <w:b w:val="0"/>
          <w:bCs w:val="0"/>
          <w:color w:val="000000"/>
          <w:sz w:val="32"/>
          <w:szCs w:val="32"/>
          <w:highlight w:val="none"/>
          <w:lang w:val="en-US" w:eastAsia="zh-CN"/>
        </w:rPr>
        <w:t>（二）参赛项目要求。</w:t>
      </w:r>
      <w:bookmarkEnd w:id="5"/>
    </w:p>
    <w:p w14:paraId="728EA518">
      <w:pPr>
        <w:keepNext w:val="0"/>
        <w:keepLines w:val="0"/>
        <w:pageBreakBefore w:val="0"/>
        <w:widowControl w:val="0"/>
        <w:kinsoku/>
        <w:wordWrap/>
        <w:overflowPunct/>
        <w:topLinePunct w:val="0"/>
        <w:bidi w:val="0"/>
        <w:adjustRightInd/>
        <w:snapToGrid w:val="0"/>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参赛单位应清晰阐明其技术突破性、产业变革性等。</w:t>
      </w:r>
    </w:p>
    <w:p w14:paraId="4C0EB72A">
      <w:pPr>
        <w:keepNext w:val="0"/>
        <w:keepLines w:val="0"/>
        <w:pageBreakBefore w:val="0"/>
        <w:suppressAutoHyphens/>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highlight w:val="none"/>
        </w:rPr>
      </w:pPr>
      <w:bookmarkStart w:id="6" w:name="_Toc3847"/>
      <w:r>
        <w:rPr>
          <w:rFonts w:hint="default" w:ascii="Times New Roman Regular" w:hAnsi="Times New Roman Regular" w:eastAsia="黑体" w:cs="Times New Roman Regular"/>
          <w:b w:val="0"/>
          <w:bCs w:val="0"/>
          <w:color w:val="000000"/>
          <w:sz w:val="32"/>
          <w:highlight w:val="none"/>
        </w:rPr>
        <w:t>五、技术方向</w:t>
      </w:r>
      <w:bookmarkEnd w:id="6"/>
    </w:p>
    <w:p w14:paraId="2E1053BD">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kern w:val="2"/>
          <w:sz w:val="32"/>
          <w:szCs w:val="32"/>
          <w:highlight w:val="none"/>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重点聚焦</w:t>
      </w:r>
      <w:r>
        <w:rPr>
          <w:rFonts w:hint="default" w:ascii="Times New Roman Regular" w:hAnsi="Times New Roman Regular" w:eastAsia="仿宋_GB2312" w:cs="Times New Roman Regular"/>
          <w:b w:val="0"/>
          <w:bCs w:val="0"/>
          <w:color w:val="000000"/>
          <w:sz w:val="32"/>
          <w:szCs w:val="32"/>
        </w:rPr>
        <w:t>未来制造</w:t>
      </w:r>
      <w:r>
        <w:rPr>
          <w:rFonts w:hint="default" w:ascii="Times New Roman Regular" w:hAnsi="Times New Roman Regular" w:eastAsia="仿宋_GB2312" w:cs="Times New Roman Regular"/>
          <w:b w:val="0"/>
          <w:bCs w:val="0"/>
          <w:color w:val="000000"/>
          <w:sz w:val="32"/>
          <w:szCs w:val="32"/>
          <w:lang w:val="en-US" w:eastAsia="zh-CN"/>
        </w:rPr>
        <w:t>领域，包括智能制造、生物制造、纳米制造、激光制造、循环制造、智能控制、智能传感、模拟仿真、柔性制造、共享制造、工业互联网、工业元宇宙等方向。</w:t>
      </w:r>
    </w:p>
    <w:p w14:paraId="0F93BC99">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黑体" w:cs="Times New Roman Regular"/>
          <w:b w:val="0"/>
          <w:bCs w:val="0"/>
          <w:color w:val="000000"/>
          <w:kern w:val="2"/>
          <w:sz w:val="32"/>
          <w:szCs w:val="24"/>
          <w:highlight w:val="none"/>
          <w:lang w:val="en-US" w:eastAsia="zh-CN" w:bidi="ar-SA"/>
        </w:rPr>
      </w:pPr>
      <w:r>
        <w:rPr>
          <w:rFonts w:hint="default" w:ascii="Times New Roman Regular" w:hAnsi="Times New Roman Regular" w:eastAsia="黑体" w:cs="Times New Roman Regular"/>
          <w:b w:val="0"/>
          <w:bCs w:val="0"/>
          <w:color w:val="000000"/>
          <w:kern w:val="2"/>
          <w:sz w:val="32"/>
          <w:szCs w:val="24"/>
          <w:highlight w:val="none"/>
          <w:lang w:val="en-US" w:eastAsia="zh-CN" w:bidi="ar-SA"/>
        </w:rPr>
        <w:t>六、赛程安排</w:t>
      </w:r>
    </w:p>
    <w:p w14:paraId="7315E2FC">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楷体_GB2312" w:cs="Times New Roman Regular"/>
          <w:b w:val="0"/>
          <w:bCs w:val="0"/>
          <w:color w:val="000000"/>
          <w:sz w:val="32"/>
          <w:szCs w:val="32"/>
          <w:highlight w:val="none"/>
          <w:lang w:val="en-US" w:eastAsia="zh-CN"/>
        </w:rPr>
        <w:t>（一）自主报名。</w:t>
      </w:r>
      <w:r>
        <w:rPr>
          <w:rFonts w:hint="default" w:ascii="Times New Roman Regular" w:hAnsi="Times New Roman Regular" w:eastAsia="仿宋_GB2312" w:cs="Times New Roman Regular"/>
          <w:b w:val="0"/>
          <w:bCs w:val="0"/>
          <w:kern w:val="2"/>
          <w:sz w:val="32"/>
          <w:szCs w:val="32"/>
          <w:highlight w:val="none"/>
          <w:lang w:val="en-US" w:eastAsia="zh-CN" w:bidi="ar-SA"/>
        </w:rPr>
        <w:t>各参赛单位通过大赛官方网站进行统一注册报名，同时承诺对填报信息的准确、真实、合法、有效性负责。</w:t>
      </w:r>
    </w:p>
    <w:p w14:paraId="02FCF582">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sz w:val="32"/>
          <w:szCs w:val="32"/>
        </w:rPr>
        <w:t>报名截止时间为2025年9月30日</w:t>
      </w:r>
      <w:r>
        <w:rPr>
          <w:rFonts w:hint="default" w:ascii="Times New Roman Regular" w:hAnsi="Times New Roman Regular" w:eastAsia="仿宋_GB2312" w:cs="Times New Roman Regular"/>
          <w:b w:val="0"/>
          <w:bCs w:val="0"/>
          <w:sz w:val="32"/>
          <w:szCs w:val="32"/>
          <w:lang w:eastAsia="zh-CN"/>
        </w:rPr>
        <w:t>。</w:t>
      </w:r>
    </w:p>
    <w:p w14:paraId="29FB3804">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楷体_GB2312" w:cs="Times New Roman Regular"/>
          <w:b w:val="0"/>
          <w:bCs w:val="0"/>
          <w:color w:val="000000"/>
          <w:sz w:val="32"/>
          <w:szCs w:val="32"/>
          <w:highlight w:val="none"/>
          <w:lang w:val="en-US" w:eastAsia="zh-CN"/>
        </w:rPr>
        <w:t>（二）项目审查和初筛。</w:t>
      </w:r>
      <w:r>
        <w:rPr>
          <w:rFonts w:hint="default" w:ascii="Times New Roman Regular" w:hAnsi="Times New Roman Regular" w:eastAsia="仿宋_GB2312" w:cs="Times New Roman Regular"/>
          <w:b w:val="0"/>
          <w:bCs w:val="0"/>
          <w:kern w:val="2"/>
          <w:sz w:val="32"/>
          <w:szCs w:val="32"/>
          <w:highlight w:val="none"/>
          <w:lang w:val="en-US" w:eastAsia="zh-CN" w:bidi="ar-SA"/>
        </w:rPr>
        <w:t>对报名参赛项目，按照项目合规性审查标准进行审查，再根据颠覆性技术评议标准进行初步筛选，确定进入领域赛项目名单。</w:t>
      </w:r>
    </w:p>
    <w:p w14:paraId="282FD471">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color w:val="000000"/>
          <w:kern w:val="0"/>
          <w:sz w:val="32"/>
          <w:szCs w:val="32"/>
          <w:lang w:bidi="ar"/>
        </w:rPr>
        <w:t>项目初筛时间为2025年10月中旬。</w:t>
      </w:r>
    </w:p>
    <w:p w14:paraId="06CC37C4">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outlineLvl w:val="1"/>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楷体_GB2312" w:cs="Times New Roman Regular"/>
          <w:b w:val="0"/>
          <w:bCs w:val="0"/>
          <w:color w:val="000000"/>
          <w:sz w:val="32"/>
          <w:szCs w:val="32"/>
          <w:highlight w:val="none"/>
          <w:lang w:val="en-US" w:eastAsia="zh-CN"/>
        </w:rPr>
        <w:t>（三）比赛说明。</w:t>
      </w:r>
    </w:p>
    <w:p w14:paraId="7EB39393">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pPr>
      <w:bookmarkStart w:id="7" w:name="_Toc13359"/>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1.比赛分组。领域赛将参赛单位分组并排序，参加评</w:t>
      </w:r>
      <w:bookmarkEnd w:id="7"/>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议的评委随机分组组成评议组，项目组与评议组随机匹配。</w:t>
      </w:r>
    </w:p>
    <w:p w14:paraId="7E867C58">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2.比赛模式。领域赛采用“12+8”模式封闭式陈述和答辩，参赛选手陈述时间12分钟，评议组问答时间8分钟。</w:t>
      </w:r>
    </w:p>
    <w:p w14:paraId="3FDA7F56">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3.评议流程。评议流程按初次评议和交叉评议两个环节依次进行。初次评议既对项目技术情况作出颠覆性可能评价，也进行评级；交叉评议对项目技术情况的颠覆性可能作进一步识别。评议结果</w:t>
      </w:r>
      <w:r>
        <w:rPr>
          <w:rFonts w:hint="default" w:ascii="Times New Roman Regular" w:hAnsi="Times New Roman Regular" w:eastAsia="仿宋_GB2312" w:cs="Times New Roman Regular"/>
          <w:b w:val="0"/>
          <w:bCs w:val="0"/>
          <w:kern w:val="2"/>
          <w:sz w:val="32"/>
          <w:szCs w:val="32"/>
          <w:lang w:val="en-US" w:eastAsia="zh-CN" w:bidi="ar-SA"/>
        </w:rPr>
        <w:t>分为优秀项目和优胜项目，优胜项目择优进入决赛。</w:t>
      </w:r>
    </w:p>
    <w:p w14:paraId="161D7AC6">
      <w:pPr>
        <w:keepNext w:val="0"/>
        <w:keepLines w:val="0"/>
        <w:pageBreakBefore w:val="0"/>
        <w:numPr>
          <w:ilvl w:val="0"/>
          <w:numId w:val="0"/>
        </w:numPr>
        <w:suppressAutoHyphens/>
        <w:kinsoku/>
        <w:wordWrap/>
        <w:overflowPunct/>
        <w:topLinePunct w:val="0"/>
        <w:bidi w:val="0"/>
        <w:adjustRightInd/>
        <w:spacing w:line="560" w:lineRule="exact"/>
        <w:ind w:leftChars="200"/>
        <w:textAlignment w:val="auto"/>
        <w:rPr>
          <w:rFonts w:hint="default" w:ascii="Times New Roman Regular" w:hAnsi="Times New Roman Regular" w:eastAsia="仿宋_GB2312" w:cs="Times New Roman Regular"/>
          <w:b w:val="0"/>
          <w:bCs w:val="0"/>
          <w:color w:val="000000"/>
          <w:sz w:val="32"/>
          <w:szCs w:val="24"/>
          <w:highlight w:val="none"/>
          <w:u w:val="none"/>
          <w:shd w:val="clear" w:color="auto" w:fill="FFFFFF"/>
          <w:lang w:val="en-US" w:eastAsia="zh-CN"/>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4.</w:t>
      </w:r>
      <w:r>
        <w:rPr>
          <w:rFonts w:hint="default" w:ascii="Times New Roman Regular" w:hAnsi="Times New Roman Regular" w:eastAsia="仿宋_GB2312" w:cs="Times New Roman Regular"/>
          <w:b w:val="0"/>
          <w:bCs w:val="0"/>
          <w:color w:val="000000"/>
          <w:sz w:val="32"/>
          <w:szCs w:val="24"/>
          <w:highlight w:val="none"/>
          <w:u w:val="none"/>
          <w:shd w:val="clear" w:color="auto" w:fill="FFFFFF"/>
          <w:lang w:val="en-US" w:eastAsia="zh-CN"/>
        </w:rPr>
        <w:t>组织方案。</w:t>
      </w:r>
    </w:p>
    <w:p w14:paraId="02706FE8">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highlight w:val="none"/>
          <w:lang w:val="en-US" w:eastAsia="zh-CN"/>
        </w:rPr>
      </w:pPr>
      <w:r>
        <w:rPr>
          <w:rFonts w:hint="default" w:ascii="Times New Roman Regular" w:hAnsi="Times New Roman Regular" w:eastAsia="仿宋_GB2312" w:cs="Times New Roman Regular"/>
          <w:b w:val="0"/>
          <w:bCs w:val="0"/>
          <w:kern w:val="2"/>
          <w:sz w:val="32"/>
          <w:szCs w:val="32"/>
          <w:highlight w:val="none"/>
          <w:lang w:val="en-US" w:eastAsia="zh-CN" w:bidi="ar-SA"/>
        </w:rPr>
        <w:t>（1）</w:t>
      </w:r>
      <w:r>
        <w:rPr>
          <w:rFonts w:hint="default" w:ascii="Times New Roman Regular" w:hAnsi="Times New Roman Regular" w:eastAsia="仿宋_GB2312" w:cs="Times New Roman Regular"/>
          <w:b w:val="0"/>
          <w:bCs w:val="0"/>
          <w:kern w:val="0"/>
          <w:sz w:val="32"/>
          <w:szCs w:val="32"/>
          <w:highlight w:val="none"/>
        </w:rPr>
        <w:t>比赛时间：2025年10月下旬</w:t>
      </w:r>
      <w:r>
        <w:rPr>
          <w:rFonts w:hint="default" w:ascii="Times New Roman Regular" w:hAnsi="Times New Roman Regular" w:eastAsia="仿宋_GB2312" w:cs="Times New Roman Regular"/>
          <w:b w:val="0"/>
          <w:bCs w:val="0"/>
          <w:kern w:val="0"/>
          <w:sz w:val="32"/>
          <w:szCs w:val="32"/>
          <w:highlight w:val="none"/>
          <w:lang w:eastAsia="zh-CN"/>
        </w:rPr>
        <w:t>（</w:t>
      </w:r>
      <w:r>
        <w:rPr>
          <w:rFonts w:hint="default" w:ascii="Times New Roman Regular" w:hAnsi="Times New Roman Regular" w:eastAsia="仿宋_GB2312" w:cs="Times New Roman Regular"/>
          <w:b w:val="0"/>
          <w:bCs w:val="0"/>
          <w:kern w:val="0"/>
          <w:sz w:val="32"/>
          <w:szCs w:val="32"/>
          <w:highlight w:val="none"/>
          <w:lang w:val="en-US" w:eastAsia="zh-CN"/>
        </w:rPr>
        <w:t>拟）</w:t>
      </w:r>
    </w:p>
    <w:p w14:paraId="3C32E183">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（2）参赛人员。每个参赛项目单位选派1-2名代表作为选手参加比赛。其中1名为参赛项目的负责人或研发团队主要人员作为陈述和答辩人，另可选派1名助手。</w:t>
      </w:r>
    </w:p>
    <w:p w14:paraId="673C6078">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（3）比赛展示。参赛选手须提供比赛使用的PPT电子版。参赛选手可在比赛中展示产品、样品等相关实物模型。</w:t>
      </w:r>
    </w:p>
    <w:p w14:paraId="6041C413">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highlight w:val="none"/>
          <w:lang w:val="en-US" w:eastAsia="zh-CN"/>
        </w:rPr>
      </w:pPr>
      <w:r>
        <w:rPr>
          <w:rFonts w:hint="default" w:ascii="Times New Roman Regular" w:hAnsi="Times New Roman Regular" w:eastAsia="仿宋_GB2312" w:cs="Times New Roman Regular"/>
          <w:b w:val="0"/>
          <w:bCs w:val="0"/>
          <w:kern w:val="2"/>
          <w:sz w:val="32"/>
          <w:szCs w:val="32"/>
          <w:highlight w:val="none"/>
          <w:lang w:val="en-US" w:eastAsia="zh-CN" w:bidi="ar-SA"/>
        </w:rPr>
        <w:t>（4）参赛费用。领域赛不向参赛单位收取任何费用。领域赛不统一安排食宿，参赛选手差旅费、食宿费自理。</w:t>
      </w:r>
    </w:p>
    <w:p w14:paraId="7649C89F">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outlineLvl w:val="0"/>
        <w:rPr>
          <w:rFonts w:hint="default" w:ascii="Times New Roman Regular" w:hAnsi="Times New Roman Regular" w:eastAsia="黑体" w:cs="Times New Roman Regular"/>
          <w:b w:val="0"/>
          <w:bCs w:val="0"/>
          <w:kern w:val="2"/>
          <w:sz w:val="32"/>
          <w:szCs w:val="24"/>
          <w:highlight w:val="none"/>
          <w:lang w:val="en-US" w:eastAsia="zh-CN" w:bidi="ar-SA"/>
        </w:rPr>
      </w:pPr>
      <w:bookmarkStart w:id="8" w:name="_Toc16837"/>
      <w:r>
        <w:rPr>
          <w:rFonts w:hint="default" w:ascii="Times New Roman Regular" w:hAnsi="Times New Roman Regular" w:eastAsia="黑体" w:cs="Times New Roman Regular"/>
          <w:b w:val="0"/>
          <w:bCs w:val="0"/>
          <w:kern w:val="2"/>
          <w:sz w:val="32"/>
          <w:szCs w:val="24"/>
          <w:highlight w:val="none"/>
          <w:lang w:val="en-US" w:eastAsia="zh-CN" w:bidi="ar-SA"/>
        </w:rPr>
        <w:t>七、服务政策</w:t>
      </w:r>
      <w:bookmarkEnd w:id="8"/>
    </w:p>
    <w:p w14:paraId="7EA905D0">
      <w:pPr>
        <w:keepNext w:val="0"/>
        <w:keepLines w:val="0"/>
        <w:pageBreakBefore w:val="0"/>
        <w:kinsoku/>
        <w:wordWrap/>
        <w:overflowPunct/>
        <w:topLinePunct w:val="0"/>
        <w:bidi w:val="0"/>
        <w:adjustRightInd/>
        <w:spacing w:line="560" w:lineRule="exact"/>
        <w:ind w:firstLine="640" w:firstLineChars="200"/>
        <w:contextualSpacing/>
        <w:jc w:val="both"/>
        <w:textAlignment w:val="auto"/>
        <w:rPr>
          <w:rFonts w:hint="default" w:ascii="Times New Roman Regular" w:hAnsi="Times New Roman Regular" w:eastAsia="仿宋_GB2312" w:cs="Times New Roman Regular"/>
          <w:b w:val="0"/>
          <w:bCs w:val="0"/>
          <w:color w:val="000000"/>
          <w:sz w:val="32"/>
          <w:szCs w:val="32"/>
          <w:highlight w:val="none"/>
        </w:rPr>
      </w:pPr>
      <w:r>
        <w:rPr>
          <w:rFonts w:hint="default" w:ascii="Times New Roman Regular" w:hAnsi="Times New Roman Regular" w:eastAsia="楷体_GB2312" w:cs="Times New Roman Regular"/>
          <w:b w:val="0"/>
          <w:bCs w:val="0"/>
          <w:color w:val="000000"/>
          <w:sz w:val="32"/>
          <w:szCs w:val="32"/>
          <w:highlight w:val="none"/>
          <w:lang w:val="en-US" w:eastAsia="zh-CN"/>
        </w:rPr>
        <w:t>（一）资金支持。</w:t>
      </w:r>
      <w:r>
        <w:rPr>
          <w:rFonts w:hint="default" w:ascii="Times New Roman Regular" w:hAnsi="Times New Roman Regular" w:eastAsia="仿宋_GB2312" w:cs="Times New Roman Regular"/>
          <w:b w:val="0"/>
          <w:bCs w:val="0"/>
          <w:color w:val="000000"/>
          <w:sz w:val="32"/>
          <w:szCs w:val="32"/>
          <w:highlight w:val="none"/>
        </w:rPr>
        <w:t>依据青岛市关于创新创业大赛奖励实施细则，支持企业参加中国创新创业大赛、颠覆性技术大赛,对青岛本地企业获奖最高给予30万元奖励。</w:t>
      </w:r>
    </w:p>
    <w:p w14:paraId="4BFB424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（二）政策支持。</w:t>
      </w:r>
      <w:r>
        <w:rPr>
          <w:rFonts w:hint="default" w:ascii="Times New Roman Regular" w:hAnsi="Times New Roman Regular" w:eastAsia="仿宋_GB2312" w:cs="Times New Roman Regular"/>
          <w:b w:val="0"/>
          <w:bCs w:val="0"/>
          <w:sz w:val="32"/>
          <w:szCs w:val="32"/>
          <w:highlight w:val="none"/>
          <w:u w:val="none"/>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w:t>
      </w:r>
      <w:r>
        <w:rPr>
          <w:rFonts w:hint="default" w:ascii="Times New Roman Regular" w:hAnsi="Times New Roman Regular" w:eastAsia="仿宋_GB2312" w:cs="Times New Roman Regular"/>
          <w:sz w:val="32"/>
          <w:szCs w:val="32"/>
          <w:highlight w:val="none"/>
          <w:u w:val="none"/>
          <w:lang w:val="en-US" w:eastAsia="zh-CN"/>
        </w:rPr>
        <w:t>在高新技术企业认定、科技型中小企业评价等方面，为参赛企业予以重点指导，联合相关单位开展“专精特新”申报、科创板企业上市等综合赋能培训。向科技型企业孵化器推送有需求的项目信息，支持早期企业和团队入孵。择优向</w:t>
      </w:r>
      <w:r>
        <w:rPr>
          <w:rFonts w:hint="default" w:ascii="Times New Roman Regular" w:hAnsi="Times New Roman Regular" w:eastAsia="仿宋_GB2312" w:cs="Times New Roman Regular"/>
          <w:b w:val="0"/>
          <w:bCs w:val="0"/>
          <w:sz w:val="32"/>
          <w:szCs w:val="32"/>
          <w:highlight w:val="none"/>
          <w:u w:val="none"/>
          <w:lang w:val="en-US" w:eastAsia="zh-CN"/>
        </w:rPr>
        <w:t>国家颠覆性技术创新重点专项推荐优胜项目并争取支持。</w:t>
      </w:r>
    </w:p>
    <w:p w14:paraId="5589CED8">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（三）金融服务。</w:t>
      </w:r>
      <w:r>
        <w:rPr>
          <w:rFonts w:hint="default" w:ascii="Times New Roman Regular" w:hAnsi="Times New Roman Regular" w:eastAsia="仿宋_GB2312" w:cs="Times New Roman Regular"/>
          <w:b w:val="0"/>
          <w:bCs w:val="0"/>
          <w:sz w:val="32"/>
          <w:szCs w:val="32"/>
          <w:highlight w:val="none"/>
          <w:u w:val="none"/>
          <w:lang w:val="en-US" w:eastAsia="zh-CN"/>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76AC5A44">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（四）人才服务。</w:t>
      </w:r>
      <w:r>
        <w:rPr>
          <w:rFonts w:hint="default" w:ascii="Times New Roman Regular" w:hAnsi="Times New Roman Regular" w:eastAsia="仿宋_GB2312" w:cs="Times New Roman Regular"/>
          <w:b w:val="0"/>
          <w:bCs w:val="0"/>
          <w:sz w:val="32"/>
          <w:szCs w:val="32"/>
          <w:highlight w:val="none"/>
          <w:u w:val="none"/>
          <w:lang w:val="en-US" w:eastAsia="zh-CN"/>
        </w:rPr>
        <w:t>联合相关高校为参赛企业举办创新创业优秀人才招聘，推荐参赛企业参加国家高新区科研助理岗招聘活动。依托“百园百校万企”合作行动，为高新区、企业提供人才服务。</w:t>
      </w:r>
    </w:p>
    <w:p w14:paraId="42CBC46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（五）信息服务。</w:t>
      </w:r>
      <w:r>
        <w:rPr>
          <w:rFonts w:hint="default" w:ascii="Times New Roman Regular" w:hAnsi="Times New Roman Regular" w:eastAsia="仿宋_GB2312" w:cs="Times New Roman Regular"/>
          <w:b w:val="0"/>
          <w:bCs w:val="0"/>
          <w:sz w:val="32"/>
          <w:szCs w:val="32"/>
          <w:highlight w:val="none"/>
          <w:u w:val="none"/>
          <w:lang w:val="en-US" w:eastAsia="zh-CN"/>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5F8CA5D4">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（六）地方服务。</w:t>
      </w:r>
      <w:r>
        <w:rPr>
          <w:rFonts w:hint="default" w:ascii="Times New Roman Regular" w:hAnsi="Times New Roman Regular" w:eastAsia="仿宋_GB2312" w:cs="Times New Roman Regular"/>
          <w:b w:val="0"/>
          <w:bCs w:val="0"/>
          <w:sz w:val="32"/>
          <w:szCs w:val="32"/>
          <w:highlight w:val="none"/>
          <w:u w:val="none"/>
          <w:lang w:val="en-US" w:eastAsia="zh-CN"/>
        </w:rPr>
        <w:t>全力协调资本、人才、土地等各方资源，集中支持项目落地。常态化组织项目路演对接和未来产业发展交流培训、政策服务等活动，邀请主管部门、行业协会有关负责同志进行指导，为优秀参赛企业提供专项政策宣贯、大企业合作对接、新技术场景应用等增值服务。</w:t>
      </w:r>
    </w:p>
    <w:p w14:paraId="5A33C137">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_GB2312" w:cs="Times New Roman Regular"/>
          <w:b w:val="0"/>
          <w:bCs w:val="0"/>
          <w:color w:val="000000"/>
          <w:sz w:val="32"/>
          <w:szCs w:val="32"/>
          <w:highlight w:val="none"/>
          <w:lang w:val="en-US" w:eastAsia="zh-CN"/>
        </w:rPr>
        <w:t>（七）宣传展示。</w:t>
      </w:r>
      <w:r>
        <w:rPr>
          <w:rFonts w:hint="default" w:ascii="Times New Roman Regular" w:hAnsi="Times New Roman Regular" w:eastAsia="仿宋_GB2312" w:cs="Times New Roman Regular"/>
          <w:b w:val="0"/>
          <w:bCs w:val="0"/>
          <w:sz w:val="32"/>
          <w:szCs w:val="32"/>
          <w:highlight w:val="none"/>
          <w:u w:val="none"/>
          <w:lang w:val="en-US" w:eastAsia="zh-CN"/>
        </w:rPr>
        <w:t>通过中国创新创业大赛官网、大赛合作媒体渠道、大赛附属论坛、展览、培训等活动，对赛事进行宣传展示。</w:t>
      </w:r>
    </w:p>
    <w:p w14:paraId="27F6BBA9">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p>
    <w:p w14:paraId="7802F07D">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联系人：郑山河0532-85911060</w:t>
      </w:r>
    </w:p>
    <w:p w14:paraId="653E9864">
      <w:pPr>
        <w:keepNext w:val="0"/>
        <w:keepLines w:val="0"/>
        <w:pageBreakBefore w:val="0"/>
        <w:widowControl w:val="0"/>
        <w:suppressLineNumbers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Regular" w:hAnsi="Times New Roman Regular" w:eastAsia="仿宋_GB2312" w:cs="Times New Roman Regular"/>
          <w:b w:val="0"/>
          <w:bCs w:val="0"/>
          <w:sz w:val="32"/>
          <w:szCs w:val="32"/>
          <w:highlight w:val="none"/>
        </w:rPr>
      </w:pPr>
      <w:r>
        <w:rPr>
          <w:rFonts w:hint="default" w:ascii="Times New Roman Regular" w:hAnsi="Times New Roman Regular" w:eastAsia="仿宋_GB2312" w:cs="Times New Roman Regular"/>
          <w:b w:val="0"/>
          <w:bCs w:val="0"/>
          <w:color w:val="000000"/>
          <w:kern w:val="0"/>
          <w:sz w:val="32"/>
          <w:szCs w:val="32"/>
          <w:highlight w:val="none"/>
          <w:lang w:val="en-US" w:eastAsia="zh-CN" w:bidi="ar"/>
        </w:rPr>
        <w:t>李  琦0532-68686979</w:t>
      </w:r>
    </w:p>
    <w:p w14:paraId="4E38E44A">
      <w:pPr>
        <w:wordWrap w:val="0"/>
        <w:jc w:val="right"/>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1B9F55C1"/>
    <w:rsid w:val="7D6EA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2025-09-02T14:58:00Z</dcterms:created>
  <dc:creator>廖梓君</dc:creator>
  <cp:lastModifiedBy>廖梓君</cp:lastModifiedBy>
  <dcterms:modified xsi:type="dcterms:W3CDTF">2025-09-02T15:03:51Z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6BC67E3CE72E6094D796B66842E35FED_43</vt:lpwstr>
  </property>
</Properties>
</file>