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59680">
      <w:pPr>
        <w:keepNext w:val="0"/>
        <w:keepLines w:val="0"/>
        <w:pageBreakBefore w:val="0"/>
        <w:kinsoku/>
        <w:wordWrap/>
        <w:overflowPunct/>
        <w:topLinePunct w:val="0"/>
        <w:bidi w:val="0"/>
        <w:adjustRightInd/>
        <w:spacing w:line="560" w:lineRule="exact"/>
        <w:textAlignment w:val="auto"/>
        <w:rPr>
          <w:rFonts w:hint="default" w:ascii="Times New Roman Regular" w:hAnsi="Times New Roman Regular" w:eastAsia="黑体" w:cs="Times New Roman Regular"/>
          <w:b w:val="0"/>
          <w:bCs w:val="0"/>
          <w:sz w:val="32"/>
          <w:szCs w:val="32"/>
          <w:lang w:val="en-US" w:eastAsia="zh-CN"/>
        </w:rPr>
      </w:pPr>
      <w:bookmarkStart w:id="7" w:name="_GoBack"/>
      <w:r>
        <w:rPr>
          <w:rFonts w:hint="default" w:ascii="Times New Roman Regular" w:hAnsi="Times New Roman Regular" w:eastAsia="黑体" w:cs="Times New Roman Regular"/>
          <w:b w:val="0"/>
          <w:bCs w:val="0"/>
          <w:sz w:val="32"/>
          <w:szCs w:val="32"/>
          <w:lang w:val="en-US" w:eastAsia="zh-CN"/>
        </w:rPr>
        <w:t>附件3</w:t>
      </w:r>
    </w:p>
    <w:p w14:paraId="0E4755AA">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textAlignment w:val="auto"/>
        <w:rPr>
          <w:rFonts w:hint="default" w:ascii="Times New Roman Regular" w:hAnsi="Times New Roman Regular" w:cs="Times New Roman Regular"/>
          <w:b w:val="0"/>
          <w:bCs w:val="0"/>
          <w:sz w:val="34"/>
        </w:rPr>
      </w:pPr>
    </w:p>
    <w:p w14:paraId="1179F280">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default" w:ascii="Times New Roman Regular" w:hAnsi="Times New Roman Regular" w:eastAsia="方正小标宋简体" w:cs="Times New Roman Regular"/>
          <w:b w:val="0"/>
          <w:bCs w:val="0"/>
          <w:sz w:val="44"/>
          <w:szCs w:val="44"/>
          <w:lang w:val="en-US" w:eastAsia="zh-CN"/>
        </w:rPr>
      </w:pPr>
      <w:r>
        <w:rPr>
          <w:rFonts w:hint="default" w:ascii="Times New Roman Regular" w:hAnsi="Times New Roman Regular" w:eastAsia="方正小标宋简体" w:cs="Times New Roman Regular"/>
          <w:b w:val="0"/>
          <w:bCs w:val="0"/>
          <w:sz w:val="44"/>
          <w:szCs w:val="44"/>
          <w:lang w:val="en-US" w:eastAsia="zh-CN"/>
        </w:rPr>
        <w:t>第十四届中国创新创业大赛颠覆性技术</w:t>
      </w:r>
    </w:p>
    <w:p w14:paraId="63E46AD0">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default" w:ascii="Times New Roman Regular" w:hAnsi="Times New Roman Regular" w:eastAsia="方正小标宋简体" w:cs="Times New Roman Regular"/>
          <w:b w:val="0"/>
          <w:bCs w:val="0"/>
          <w:sz w:val="44"/>
          <w:szCs w:val="44"/>
          <w:lang w:val="en-US" w:eastAsia="zh-CN"/>
        </w:rPr>
      </w:pPr>
      <w:r>
        <w:rPr>
          <w:rFonts w:hint="default" w:ascii="Times New Roman Regular" w:hAnsi="Times New Roman Regular" w:eastAsia="方正小标宋简体" w:cs="Times New Roman Regular"/>
          <w:b w:val="0"/>
          <w:bCs w:val="0"/>
          <w:sz w:val="44"/>
          <w:szCs w:val="44"/>
          <w:lang w:val="en-US" w:eastAsia="zh-CN"/>
        </w:rPr>
        <w:t>创新大赛（未来材料领域赛）组织方案</w:t>
      </w:r>
    </w:p>
    <w:bookmarkEnd w:id="7"/>
    <w:p w14:paraId="7FDB2ECB">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default" w:ascii="Times New Roman Regular" w:hAnsi="Times New Roman Regular" w:eastAsia="方正小标宋简体" w:cs="Times New Roman Regular"/>
          <w:b w:val="0"/>
          <w:bCs w:val="0"/>
          <w:sz w:val="44"/>
          <w:szCs w:val="44"/>
          <w:lang w:val="en-US" w:eastAsia="zh-CN"/>
        </w:rPr>
      </w:pPr>
    </w:p>
    <w:p w14:paraId="1392018F">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仿宋_GB2312" w:cs="Times New Roman Regular"/>
          <w:b w:val="0"/>
          <w:bCs w:val="0"/>
          <w:sz w:val="32"/>
          <w:szCs w:val="32"/>
          <w:u w:val="none"/>
        </w:rPr>
      </w:pPr>
      <w:r>
        <w:rPr>
          <w:rFonts w:hint="default" w:ascii="Times New Roman Regular" w:hAnsi="Times New Roman Regular" w:eastAsia="仿宋_GB2312" w:cs="Times New Roman Regular"/>
          <w:b w:val="0"/>
          <w:bCs w:val="0"/>
          <w:kern w:val="2"/>
          <w:sz w:val="32"/>
          <w:szCs w:val="32"/>
          <w:lang w:val="en-US" w:eastAsia="zh-CN" w:bidi="ar-SA"/>
        </w:rPr>
        <w:t>根据工业和信息化部火炬中心《关于举办第十四届中国创新创业大赛的通知》（火炬〔2025〕16号）要求，制定第十四届中国创新创业大赛颠覆性技术创新大赛（未来材料领域赛）方案。</w:t>
      </w:r>
    </w:p>
    <w:p w14:paraId="4EEC7D73">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Regular" w:hAnsi="Times New Roman Regular" w:eastAsia="黑体" w:cs="Times New Roman Regular"/>
          <w:b w:val="0"/>
          <w:bCs w:val="0"/>
          <w:sz w:val="32"/>
          <w:szCs w:val="32"/>
          <w:u w:val="none"/>
        </w:rPr>
      </w:pPr>
      <w:bookmarkStart w:id="0" w:name="一、指导思想"/>
      <w:bookmarkEnd w:id="0"/>
      <w:r>
        <w:rPr>
          <w:rFonts w:hint="default" w:ascii="Times New Roman Regular" w:hAnsi="Times New Roman Regular" w:eastAsia="黑体" w:cs="Times New Roman Regular"/>
          <w:b w:val="0"/>
          <w:bCs w:val="0"/>
          <w:sz w:val="32"/>
          <w:szCs w:val="32"/>
          <w:u w:val="none"/>
        </w:rPr>
        <w:t>一、指导思想</w:t>
      </w:r>
    </w:p>
    <w:p w14:paraId="6D38BAD9">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1"/>
        <w:jc w:val="both"/>
        <w:textAlignment w:val="auto"/>
        <w:rPr>
          <w:rFonts w:hint="default" w:ascii="Times New Roman Regular" w:hAnsi="Times New Roman Regular" w:eastAsia="仿宋_GB2312" w:cs="Times New Roman Regular"/>
          <w:b w:val="0"/>
          <w:bCs w:val="0"/>
          <w:spacing w:val="-20"/>
          <w:sz w:val="32"/>
          <w:szCs w:val="32"/>
          <w:u w:val="none"/>
          <w:lang w:val="en-US" w:eastAsia="zh-CN"/>
        </w:rPr>
      </w:pPr>
      <w:bookmarkStart w:id="1" w:name="二、赛事安排"/>
      <w:bookmarkEnd w:id="1"/>
      <w:r>
        <w:rPr>
          <w:rFonts w:hint="default" w:ascii="Times New Roman Regular" w:hAnsi="Times New Roman Regular" w:eastAsia="仿宋_GB2312" w:cs="Times New Roman Regular"/>
          <w:b w:val="0"/>
          <w:bCs w:val="0"/>
          <w:kern w:val="2"/>
          <w:sz w:val="32"/>
          <w:szCs w:val="32"/>
          <w:lang w:val="en-US" w:eastAsia="zh-CN" w:bidi="ar-SA"/>
        </w:rPr>
        <w:t>以习近平新时代中国特色社会主义思想为指导，深入实施创新驱动发展战略，把颠覆性技术创新大赛作为落实《工业和信息化部等七部门关于推动未来产业创新发展的实施意见》(工信部联科〔2024〕12号)的重要抓手，强化颠覆性技术源头供给，促进颠覆性技术成果转化，前瞻布局未来产业，加快发展新质生产力。</w:t>
      </w:r>
    </w:p>
    <w:p w14:paraId="35644138">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黑体" w:cs="Times New Roman Regular"/>
          <w:b w:val="0"/>
          <w:bCs w:val="0"/>
          <w:spacing w:val="-20"/>
          <w:sz w:val="32"/>
          <w:szCs w:val="32"/>
          <w:u w:val="none"/>
        </w:rPr>
      </w:pPr>
      <w:r>
        <w:rPr>
          <w:rFonts w:hint="default" w:ascii="Times New Roman Regular" w:hAnsi="Times New Roman Regular" w:eastAsia="黑体" w:cs="Times New Roman Regular"/>
          <w:b w:val="0"/>
          <w:bCs w:val="0"/>
          <w:spacing w:val="-20"/>
          <w:sz w:val="32"/>
          <w:szCs w:val="32"/>
          <w:u w:val="none"/>
        </w:rPr>
        <w:t>二、赛事安排</w:t>
      </w:r>
    </w:p>
    <w:p w14:paraId="6D1422E4">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cs="Times New Roman Regular"/>
          <w:b w:val="0"/>
          <w:bCs w:val="0"/>
          <w:lang w:val="en-US" w:eastAsia="zh-CN"/>
        </w:rPr>
      </w:pPr>
      <w:r>
        <w:rPr>
          <w:rFonts w:hint="default" w:ascii="Times New Roman Regular" w:hAnsi="Times New Roman Regular" w:eastAsia="仿宋_GB2312" w:cs="Times New Roman Regular"/>
          <w:b w:val="0"/>
          <w:bCs w:val="0"/>
          <w:kern w:val="2"/>
          <w:sz w:val="32"/>
          <w:szCs w:val="32"/>
          <w:lang w:val="en-US" w:eastAsia="zh-CN" w:bidi="ar-SA"/>
        </w:rPr>
        <w:t>未来材料领域赛采用“公开海选”方式，面向社会公开征集具有颠覆性技术苗头的项目参赛，通过层层筛选和项目比拼，优胜项目择优进入决赛。符合参赛条件的单位统一登录中国创新创业大赛网站（</w:t>
      </w:r>
      <w:r>
        <w:rPr>
          <w:rFonts w:hint="default" w:ascii="Times New Roman Regular" w:hAnsi="Times New Roman Regular" w:eastAsia="仿宋_GB2312" w:cs="Times New Roman Regular"/>
          <w:b w:val="0"/>
          <w:bCs w:val="0"/>
          <w:kern w:val="2"/>
          <w:sz w:val="32"/>
          <w:szCs w:val="32"/>
          <w:lang w:val="en-US" w:eastAsia="zh-CN" w:bidi="ar-SA"/>
        </w:rPr>
        <w:fldChar w:fldCharType="begin"/>
      </w:r>
      <w:r>
        <w:rPr>
          <w:rFonts w:hint="default" w:ascii="Times New Roman Regular" w:hAnsi="Times New Roman Regular" w:eastAsia="仿宋_GB2312" w:cs="Times New Roman Regular"/>
          <w:b w:val="0"/>
          <w:bCs w:val="0"/>
          <w:kern w:val="2"/>
          <w:sz w:val="32"/>
          <w:szCs w:val="32"/>
          <w:lang w:val="en-US" w:eastAsia="zh-CN" w:bidi="ar-SA"/>
        </w:rPr>
        <w:instrText xml:space="preserve"> HYPERLINK "http://www.cxcyds.com/" \h </w:instrText>
      </w:r>
      <w:r>
        <w:rPr>
          <w:rFonts w:hint="default" w:ascii="Times New Roman Regular" w:hAnsi="Times New Roman Regular" w:eastAsia="仿宋_GB2312" w:cs="Times New Roman Regular"/>
          <w:b w:val="0"/>
          <w:bCs w:val="0"/>
          <w:kern w:val="2"/>
          <w:sz w:val="32"/>
          <w:szCs w:val="32"/>
          <w:lang w:val="en-US" w:eastAsia="zh-CN" w:bidi="ar-SA"/>
        </w:rPr>
        <w:fldChar w:fldCharType="separate"/>
      </w:r>
      <w:r>
        <w:rPr>
          <w:rFonts w:hint="default" w:ascii="Times New Roman Regular" w:hAnsi="Times New Roman Regular" w:eastAsia="仿宋_GB2312" w:cs="Times New Roman Regular"/>
          <w:b w:val="0"/>
          <w:bCs w:val="0"/>
          <w:kern w:val="2"/>
          <w:sz w:val="32"/>
          <w:szCs w:val="32"/>
          <w:lang w:val="en-US" w:eastAsia="zh-CN" w:bidi="ar-SA"/>
        </w:rPr>
        <w:t>http://www.cxcyds.com</w:t>
      </w:r>
      <w:r>
        <w:rPr>
          <w:rFonts w:hint="default" w:ascii="Times New Roman Regular" w:hAnsi="Times New Roman Regular" w:eastAsia="仿宋_GB2312" w:cs="Times New Roman Regular"/>
          <w:b w:val="0"/>
          <w:bCs w:val="0"/>
          <w:kern w:val="2"/>
          <w:sz w:val="32"/>
          <w:szCs w:val="32"/>
          <w:lang w:val="en-US" w:eastAsia="zh-CN" w:bidi="ar-SA"/>
        </w:rPr>
        <w:fldChar w:fldCharType="end"/>
      </w:r>
      <w:r>
        <w:rPr>
          <w:rFonts w:hint="default" w:ascii="Times New Roman Regular" w:hAnsi="Times New Roman Regular" w:eastAsia="仿宋_GB2312" w:cs="Times New Roman Regular"/>
          <w:b w:val="0"/>
          <w:bCs w:val="0"/>
          <w:kern w:val="2"/>
          <w:sz w:val="32"/>
          <w:szCs w:val="32"/>
          <w:lang w:val="en-US" w:eastAsia="zh-CN" w:bidi="ar-SA"/>
        </w:rPr>
        <w:t>）—颠覆性技术创新大赛入口报名参赛。同一参赛单位（大专院校除外）仅可报名1个项目参赛；大专院校报名项目总数量不超过3个。比赛不向参赛单位收取任何费用。</w:t>
      </w:r>
    </w:p>
    <w:p w14:paraId="0F930A5D">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default" w:ascii="Times New Roman Regular" w:hAnsi="Times New Roman Regular" w:eastAsia="黑体" w:cs="Times New Roman Regular"/>
          <w:b w:val="0"/>
          <w:bCs w:val="0"/>
          <w:sz w:val="32"/>
          <w:szCs w:val="32"/>
          <w:u w:val="none"/>
        </w:rPr>
      </w:pPr>
      <w:bookmarkStart w:id="2" w:name="三、组织机构"/>
      <w:bookmarkEnd w:id="2"/>
      <w:r>
        <w:rPr>
          <w:rFonts w:hint="default" w:ascii="Times New Roman Regular" w:hAnsi="Times New Roman Regular" w:eastAsia="黑体" w:cs="Times New Roman Regular"/>
          <w:b w:val="0"/>
          <w:bCs w:val="0"/>
          <w:sz w:val="32"/>
          <w:szCs w:val="32"/>
          <w:u w:val="none"/>
        </w:rPr>
        <w:t>三、组织机构</w:t>
      </w:r>
    </w:p>
    <w:p w14:paraId="19EB7B51">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主办单位：工业和信息化部火炬高技术产业开发中心</w:t>
      </w:r>
    </w:p>
    <w:p w14:paraId="4CDDA782">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承办单位：包头稀土高新技术产业开发区管委会</w:t>
      </w:r>
    </w:p>
    <w:p w14:paraId="5DAD45EC">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Regular" w:hAnsi="Times New Roman Regular" w:eastAsia="仿宋_GB2312" w:cs="Times New Roman Regular"/>
          <w:b w:val="0"/>
          <w:bCs w:val="0"/>
          <w:sz w:val="32"/>
          <w:szCs w:val="32"/>
          <w:lang w:val="en-US" w:eastAsia="zh-CN"/>
        </w:rPr>
      </w:pPr>
      <w:bookmarkStart w:id="3" w:name="四、参赛要求"/>
      <w:bookmarkEnd w:id="3"/>
      <w:r>
        <w:rPr>
          <w:rFonts w:hint="default" w:ascii="Times New Roman Regular" w:hAnsi="Times New Roman Regular" w:eastAsia="仿宋_GB2312" w:cs="Times New Roman Regular"/>
          <w:b w:val="0"/>
          <w:bCs w:val="0"/>
          <w:sz w:val="32"/>
          <w:szCs w:val="32"/>
          <w:lang w:val="en-US" w:eastAsia="zh-CN"/>
        </w:rPr>
        <w:t>协办单位：新华社中国经济信息社（国家高端智库经济研究中心）</w:t>
      </w:r>
      <w:r>
        <w:rPr>
          <w:rFonts w:hint="default" w:ascii="Times New Roman Regular" w:hAnsi="Times New Roman Regular" w:eastAsia="仿宋_GB2312" w:cs="Times New Roman Regular"/>
          <w:b w:val="0"/>
          <w:bCs w:val="0"/>
          <w:sz w:val="32"/>
          <w:szCs w:val="32"/>
          <w:lang w:val="en-US" w:eastAsia="zh-CN"/>
        </w:rPr>
        <w:fldChar w:fldCharType="begin"/>
      </w:r>
      <w:r>
        <w:rPr>
          <w:rFonts w:hint="default" w:ascii="Times New Roman Regular" w:hAnsi="Times New Roman Regular" w:eastAsia="仿宋_GB2312" w:cs="Times New Roman Regular"/>
          <w:b w:val="0"/>
          <w:bCs w:val="0"/>
          <w:sz w:val="32"/>
          <w:szCs w:val="32"/>
          <w:lang w:val="en-US" w:eastAsia="zh-CN"/>
        </w:rPr>
        <w:instrText xml:space="preserve"> HYPERLINK "http://www.baidu.com/link?url=6URckwzEafe8PaoKgtnaoEcB1SI-TWa7nRjq8ACyDby" \t "https://www.baidu.com/_blank" </w:instrText>
      </w:r>
      <w:r>
        <w:rPr>
          <w:rFonts w:hint="default" w:ascii="Times New Roman Regular" w:hAnsi="Times New Roman Regular" w:eastAsia="仿宋_GB2312" w:cs="Times New Roman Regular"/>
          <w:b w:val="0"/>
          <w:bCs w:val="0"/>
          <w:sz w:val="32"/>
          <w:szCs w:val="32"/>
          <w:lang w:val="en-US" w:eastAsia="zh-CN"/>
        </w:rPr>
        <w:fldChar w:fldCharType="separate"/>
      </w:r>
    </w:p>
    <w:p w14:paraId="3244C10F">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2240" w:firstLineChars="700"/>
        <w:jc w:val="left"/>
        <w:textAlignment w:val="auto"/>
        <w:outlineLvl w:val="9"/>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北方稀土(集团)高科技有限责任公司</w:t>
      </w:r>
    </w:p>
    <w:p w14:paraId="4C3B7950">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fldChar w:fldCharType="end"/>
      </w:r>
      <w:r>
        <w:rPr>
          <w:rFonts w:hint="default" w:ascii="Times New Roman Regular" w:hAnsi="Times New Roman Regular" w:eastAsia="仿宋_GB2312" w:cs="Times New Roman Regular"/>
          <w:b w:val="0"/>
          <w:bCs w:val="0"/>
          <w:sz w:val="32"/>
          <w:szCs w:val="32"/>
          <w:lang w:val="en-US" w:eastAsia="zh-CN"/>
        </w:rPr>
        <w:t xml:space="preserve">          包头稀土研发中心（鹿城实验室）</w:t>
      </w:r>
    </w:p>
    <w:p w14:paraId="4E0A550B">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支持单位：交通银行股份有限公司</w:t>
      </w:r>
    </w:p>
    <w:p w14:paraId="0795F808">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2240" w:firstLineChars="700"/>
        <w:jc w:val="left"/>
        <w:textAlignment w:val="auto"/>
        <w:outlineLvl w:val="9"/>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京津冀国家技术创新中心</w:t>
      </w:r>
    </w:p>
    <w:p w14:paraId="7C80AAA8">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2240" w:firstLineChars="700"/>
        <w:jc w:val="left"/>
        <w:textAlignment w:val="auto"/>
        <w:outlineLvl w:val="9"/>
        <w:rPr>
          <w:rFonts w:hint="default" w:ascii="Times New Roman Regular" w:hAnsi="Times New Roman Regular" w:eastAsia="仿宋_GB2312" w:cs="Times New Roman Regular"/>
          <w:b w:val="0"/>
          <w:bCs w:val="0"/>
          <w:spacing w:val="-1"/>
          <w:w w:val="95"/>
          <w:kern w:val="2"/>
          <w:sz w:val="32"/>
          <w:szCs w:val="32"/>
          <w:u w:val="none"/>
          <w:lang w:val="en-US" w:eastAsia="zh-CN" w:bidi="ar-SA"/>
        </w:rPr>
      </w:pPr>
      <w:r>
        <w:rPr>
          <w:rFonts w:hint="default" w:ascii="Times New Roman Regular" w:hAnsi="Times New Roman Regular" w:eastAsia="仿宋_GB2312" w:cs="Times New Roman Regular"/>
          <w:b w:val="0"/>
          <w:bCs w:val="0"/>
          <w:sz w:val="32"/>
          <w:szCs w:val="32"/>
          <w:lang w:val="en-US" w:eastAsia="zh-CN"/>
        </w:rPr>
        <w:t>中科创星科技投资有限公司</w:t>
      </w:r>
    </w:p>
    <w:p w14:paraId="23214D6A">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Regular" w:hAnsi="Times New Roman Regular" w:eastAsia="黑体" w:cs="Times New Roman Regular"/>
          <w:b w:val="0"/>
          <w:bCs w:val="0"/>
          <w:sz w:val="32"/>
          <w:szCs w:val="32"/>
          <w:u w:val="none"/>
        </w:rPr>
      </w:pPr>
      <w:r>
        <w:rPr>
          <w:rFonts w:hint="default" w:ascii="Times New Roman Regular" w:hAnsi="Times New Roman Regular" w:eastAsia="黑体" w:cs="Times New Roman Regular"/>
          <w:b w:val="0"/>
          <w:bCs w:val="0"/>
          <w:sz w:val="32"/>
          <w:szCs w:val="32"/>
          <w:u w:val="none"/>
        </w:rPr>
        <w:t>四、参赛要求</w:t>
      </w:r>
    </w:p>
    <w:p w14:paraId="0EC3D7DE">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Regular" w:hAnsi="Times New Roman Regular" w:eastAsia="楷体_GB2312" w:cs="Times New Roman Regular"/>
          <w:b w:val="0"/>
          <w:bCs w:val="0"/>
          <w:sz w:val="32"/>
          <w:szCs w:val="32"/>
          <w:u w:val="none"/>
        </w:rPr>
      </w:pPr>
      <w:r>
        <w:rPr>
          <w:rFonts w:hint="default" w:ascii="Times New Roman Regular" w:hAnsi="Times New Roman Regular" w:eastAsia="楷体_GB2312" w:cs="Times New Roman Regular"/>
          <w:b w:val="0"/>
          <w:bCs w:val="0"/>
          <w:sz w:val="32"/>
          <w:szCs w:val="32"/>
          <w:u w:val="none"/>
        </w:rPr>
        <w:t>（一）参赛单位要求</w:t>
      </w:r>
    </w:p>
    <w:p w14:paraId="6D55206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仿宋_GB2312" w:cs="Times New Roman Regular"/>
          <w:b w:val="0"/>
          <w:bCs w:val="0"/>
          <w:sz w:val="32"/>
          <w:szCs w:val="32"/>
          <w:u w:val="none"/>
        </w:rPr>
      </w:pPr>
      <w:r>
        <w:rPr>
          <w:rFonts w:hint="default" w:ascii="Times New Roman Regular" w:hAnsi="Times New Roman Regular" w:eastAsia="仿宋_GB2312" w:cs="Times New Roman Regular"/>
          <w:b w:val="0"/>
          <w:bCs w:val="0"/>
          <w:kern w:val="2"/>
          <w:sz w:val="32"/>
          <w:szCs w:val="32"/>
          <w:lang w:val="en-US" w:eastAsia="zh-CN" w:bidi="ar-SA"/>
        </w:rPr>
        <w:t>参赛单位应是具有独立法人资格的企事业单位等，经营规范、社会信誉良好、无知识产权纠纷，且具有较强的创新能力和一定的项目实施条件。</w:t>
      </w:r>
    </w:p>
    <w:p w14:paraId="3900A111">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Regular" w:hAnsi="Times New Roman Regular" w:eastAsia="楷体_GB2312" w:cs="Times New Roman Regular"/>
          <w:b w:val="0"/>
          <w:bCs w:val="0"/>
          <w:sz w:val="32"/>
          <w:szCs w:val="32"/>
          <w:u w:val="none"/>
        </w:rPr>
      </w:pPr>
      <w:r>
        <w:rPr>
          <w:rFonts w:hint="default" w:ascii="Times New Roman Regular" w:hAnsi="Times New Roman Regular" w:eastAsia="楷体_GB2312" w:cs="Times New Roman Regular"/>
          <w:b w:val="0"/>
          <w:bCs w:val="0"/>
          <w:sz w:val="32"/>
          <w:szCs w:val="32"/>
          <w:u w:val="none"/>
        </w:rPr>
        <w:t>（二）参赛项目要求</w:t>
      </w:r>
    </w:p>
    <w:p w14:paraId="0AAF8629">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kern w:val="2"/>
          <w:sz w:val="32"/>
          <w:szCs w:val="32"/>
          <w:lang w:val="en-US" w:eastAsia="zh-CN" w:bidi="ar-SA"/>
        </w:rPr>
        <w:t>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清晰阐明其技术突破性、产业变革性等。</w:t>
      </w:r>
    </w:p>
    <w:p w14:paraId="357B50C6">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Regular" w:hAnsi="Times New Roman Regular" w:eastAsia="黑体" w:cs="Times New Roman Regular"/>
          <w:b w:val="0"/>
          <w:bCs w:val="0"/>
          <w:sz w:val="32"/>
          <w:szCs w:val="32"/>
        </w:rPr>
      </w:pPr>
      <w:bookmarkStart w:id="4" w:name="五、技术方向"/>
      <w:bookmarkEnd w:id="4"/>
      <w:r>
        <w:rPr>
          <w:rFonts w:hint="default" w:ascii="Times New Roman Regular" w:hAnsi="Times New Roman Regular" w:eastAsia="黑体" w:cs="Times New Roman Regular"/>
          <w:b w:val="0"/>
          <w:bCs w:val="0"/>
          <w:sz w:val="32"/>
          <w:szCs w:val="32"/>
        </w:rPr>
        <w:t>五、技术方向</w:t>
      </w:r>
    </w:p>
    <w:p w14:paraId="3088AA2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kern w:val="2"/>
          <w:sz w:val="32"/>
          <w:szCs w:val="32"/>
          <w:lang w:val="en-US" w:eastAsia="zh-CN" w:bidi="ar-SA"/>
        </w:rPr>
        <w:t>重点聚焦未来材料领域，以新材料前沿引领技术和颠覆性技术研发应用为核心，面向有色金属、化工新材料、无机非金属、高性能碳纤维、先进半导体、超导材料等方向。</w:t>
      </w:r>
    </w:p>
    <w:p w14:paraId="50BB789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Regular" w:hAnsi="Times New Roman Regular" w:eastAsia="黑体" w:cs="Times New Roman Regular"/>
          <w:b w:val="0"/>
          <w:bCs w:val="0"/>
          <w:sz w:val="32"/>
          <w:szCs w:val="32"/>
        </w:rPr>
      </w:pPr>
      <w:bookmarkStart w:id="5" w:name="六、赛程安排"/>
      <w:bookmarkEnd w:id="5"/>
      <w:r>
        <w:rPr>
          <w:rFonts w:hint="default" w:ascii="Times New Roman Regular" w:hAnsi="Times New Roman Regular" w:eastAsia="黑体" w:cs="Times New Roman Regular"/>
          <w:b w:val="0"/>
          <w:bCs w:val="0"/>
          <w:sz w:val="32"/>
          <w:szCs w:val="32"/>
        </w:rPr>
        <w:t>六、赛程安排</w:t>
      </w:r>
    </w:p>
    <w:p w14:paraId="2FBAF0B4">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楷体_GB2312" w:cs="Times New Roman Regular"/>
          <w:b w:val="0"/>
          <w:bCs w:val="0"/>
          <w:w w:val="95"/>
          <w:sz w:val="32"/>
          <w:szCs w:val="32"/>
        </w:rPr>
        <w:t>（一</w:t>
      </w:r>
      <w:r>
        <w:rPr>
          <w:rFonts w:hint="default" w:ascii="Times New Roman Regular" w:hAnsi="Times New Roman Regular" w:eastAsia="楷体_GB2312" w:cs="Times New Roman Regular"/>
          <w:b w:val="0"/>
          <w:bCs w:val="0"/>
          <w:spacing w:val="-5"/>
          <w:w w:val="95"/>
          <w:sz w:val="32"/>
          <w:szCs w:val="32"/>
        </w:rPr>
        <w:t>）</w:t>
      </w:r>
      <w:r>
        <w:rPr>
          <w:rFonts w:hint="default" w:ascii="Times New Roman Regular" w:hAnsi="Times New Roman Regular" w:eastAsia="楷体_GB2312" w:cs="Times New Roman Regular"/>
          <w:b w:val="0"/>
          <w:bCs w:val="0"/>
          <w:spacing w:val="-2"/>
          <w:w w:val="95"/>
          <w:sz w:val="32"/>
          <w:szCs w:val="32"/>
        </w:rPr>
        <w:t>自主报名。</w:t>
      </w:r>
      <w:r>
        <w:rPr>
          <w:rFonts w:hint="default" w:ascii="Times New Roman Regular" w:hAnsi="Times New Roman Regular" w:eastAsia="仿宋_GB2312" w:cs="Times New Roman Regular"/>
          <w:b w:val="0"/>
          <w:bCs w:val="0"/>
          <w:kern w:val="2"/>
          <w:sz w:val="32"/>
          <w:szCs w:val="32"/>
          <w:lang w:val="en-US" w:eastAsia="zh-CN" w:bidi="ar-SA"/>
        </w:rPr>
        <w:t>各参赛单位通过大赛官方网站进行统一注册报名，同时承诺对填报信息的准确、真实、合法、有效性负责。</w:t>
      </w:r>
    </w:p>
    <w:p w14:paraId="48B8AA51">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kern w:val="2"/>
          <w:sz w:val="32"/>
          <w:szCs w:val="32"/>
          <w:lang w:val="en-US" w:eastAsia="zh-CN" w:bidi="ar-SA"/>
        </w:rPr>
        <w:t>报名截止时间为2025年9月30日。</w:t>
      </w:r>
    </w:p>
    <w:p w14:paraId="39979435">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楷体_GB2312" w:cs="Times New Roman Regular"/>
          <w:b w:val="0"/>
          <w:bCs w:val="0"/>
          <w:w w:val="95"/>
          <w:sz w:val="32"/>
          <w:szCs w:val="32"/>
        </w:rPr>
        <w:t>（二</w:t>
      </w:r>
      <w:r>
        <w:rPr>
          <w:rFonts w:hint="default" w:ascii="Times New Roman Regular" w:hAnsi="Times New Roman Regular" w:eastAsia="楷体_GB2312" w:cs="Times New Roman Regular"/>
          <w:b w:val="0"/>
          <w:bCs w:val="0"/>
          <w:spacing w:val="-3"/>
          <w:w w:val="95"/>
          <w:sz w:val="32"/>
          <w:szCs w:val="32"/>
        </w:rPr>
        <w:t>）</w:t>
      </w:r>
      <w:r>
        <w:rPr>
          <w:rFonts w:hint="default" w:ascii="Times New Roman Regular" w:hAnsi="Times New Roman Regular" w:eastAsia="楷体_GB2312" w:cs="Times New Roman Regular"/>
          <w:b w:val="0"/>
          <w:bCs w:val="0"/>
          <w:spacing w:val="-2"/>
          <w:w w:val="95"/>
          <w:sz w:val="32"/>
          <w:szCs w:val="32"/>
        </w:rPr>
        <w:t>项目审查和初筛。</w:t>
      </w:r>
      <w:r>
        <w:rPr>
          <w:rFonts w:hint="default" w:ascii="Times New Roman Regular" w:hAnsi="Times New Roman Regular" w:eastAsia="仿宋_GB2312" w:cs="Times New Roman Regular"/>
          <w:b w:val="0"/>
          <w:bCs w:val="0"/>
          <w:kern w:val="2"/>
          <w:sz w:val="32"/>
          <w:szCs w:val="32"/>
          <w:lang w:val="en-US" w:eastAsia="zh-CN" w:bidi="ar-SA"/>
        </w:rPr>
        <w:t>对报名参赛项目，按照项目合规性审查标准进行审查，再根据颠覆性技术评议标准进行初步筛选，确定进入领域赛项目名单。</w:t>
      </w:r>
    </w:p>
    <w:p w14:paraId="09114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kern w:val="2"/>
          <w:sz w:val="32"/>
          <w:szCs w:val="32"/>
          <w:lang w:val="en-US" w:eastAsia="zh-CN" w:bidi="ar-SA"/>
        </w:rPr>
        <w:t>项目初筛时间为2025年10月中旬。</w:t>
      </w:r>
    </w:p>
    <w:p w14:paraId="2BCF6EAC">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Regular" w:hAnsi="Times New Roman Regular" w:eastAsia="楷体_GB2312" w:cs="Times New Roman Regular"/>
          <w:b w:val="0"/>
          <w:bCs w:val="0"/>
          <w:sz w:val="32"/>
          <w:szCs w:val="32"/>
        </w:rPr>
      </w:pPr>
      <w:r>
        <w:rPr>
          <w:rFonts w:hint="default" w:ascii="Times New Roman Regular" w:hAnsi="Times New Roman Regular" w:eastAsia="楷体_GB2312" w:cs="Times New Roman Regular"/>
          <w:b w:val="0"/>
          <w:bCs w:val="0"/>
          <w:sz w:val="32"/>
          <w:szCs w:val="32"/>
        </w:rPr>
        <w:t>（三）比赛说明。</w:t>
      </w:r>
    </w:p>
    <w:p w14:paraId="4AC8E510">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sz w:val="32"/>
          <w:szCs w:val="32"/>
        </w:rPr>
        <w:t>1.</w:t>
      </w:r>
      <w:r>
        <w:rPr>
          <w:rFonts w:hint="default" w:ascii="Times New Roman Regular" w:hAnsi="Times New Roman Regular" w:eastAsia="仿宋_GB2312" w:cs="Times New Roman Regular"/>
          <w:b w:val="0"/>
          <w:bCs w:val="0"/>
          <w:kern w:val="2"/>
          <w:sz w:val="32"/>
          <w:szCs w:val="32"/>
          <w:lang w:val="en-US" w:eastAsia="zh-CN" w:bidi="ar-SA"/>
        </w:rPr>
        <w:t>比赛分组。未来材料领域赛将参赛单位分组并排序，参加评议的评委随机分组组成评议组，项目组与评议组随机匹配。</w:t>
      </w:r>
    </w:p>
    <w:p w14:paraId="2CB45C9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kern w:val="2"/>
          <w:sz w:val="32"/>
          <w:szCs w:val="32"/>
          <w:lang w:val="en-US" w:eastAsia="zh-CN" w:bidi="ar-SA"/>
        </w:rPr>
        <w:t>2.比赛模式。未来材料领域赛采用“12+8”模式封闭式陈述和答辩，参赛选手陈述时间12分钟，评议组问答时间8分钟。</w:t>
      </w:r>
    </w:p>
    <w:p w14:paraId="379166EB">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kern w:val="2"/>
          <w:sz w:val="32"/>
          <w:szCs w:val="32"/>
          <w:lang w:val="en-US" w:eastAsia="zh-CN" w:bidi="ar-SA"/>
        </w:rPr>
        <w:t>3.评议流程。评议流程按初次评议和交叉评议两个环节依次进行。初次评议既对项目技术情况作出颠覆性可能评价，也进行评级；交叉评议对项目技术情况的颠覆性可能作进一步识别。评议结果分为优秀项目和优胜项目，优胜项目择优进入决赛。</w:t>
      </w:r>
    </w:p>
    <w:p w14:paraId="6F044F2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kern w:val="2"/>
          <w:sz w:val="32"/>
          <w:szCs w:val="32"/>
          <w:lang w:val="en-US" w:eastAsia="zh-CN" w:bidi="ar-SA"/>
        </w:rPr>
        <w:t>4.组织方案。</w:t>
      </w:r>
    </w:p>
    <w:p w14:paraId="1721A1E0">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kern w:val="2"/>
          <w:sz w:val="32"/>
          <w:szCs w:val="32"/>
          <w:lang w:val="en-US" w:eastAsia="zh-CN" w:bidi="ar-SA"/>
        </w:rPr>
        <w:t>（1）比赛时间：2025年10月下旬（拟）</w:t>
      </w:r>
    </w:p>
    <w:p w14:paraId="685E75F6">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kern w:val="2"/>
          <w:sz w:val="32"/>
          <w:szCs w:val="32"/>
          <w:lang w:val="en-US" w:eastAsia="zh-CN" w:bidi="ar-SA"/>
        </w:rPr>
        <w:t>（2）参赛人员。每个参赛项目单位选派1-2名代表作为选手参加比赛。其中1名为参赛项目的负责人或研发团队主要人员作为陈述和答辩人，另可选派1名助手。</w:t>
      </w:r>
    </w:p>
    <w:p w14:paraId="4D22E5E8">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kern w:val="2"/>
          <w:sz w:val="32"/>
          <w:szCs w:val="32"/>
          <w:lang w:val="en-US" w:eastAsia="zh-CN" w:bidi="ar-SA"/>
        </w:rPr>
        <w:t>（3）比赛展示。参赛选手须提供比赛使用的PPT电子版。参赛选手可在比赛中展示产品、样品等相关实物模型。</w:t>
      </w:r>
    </w:p>
    <w:p w14:paraId="0D4DE3D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kern w:val="2"/>
          <w:sz w:val="32"/>
          <w:szCs w:val="32"/>
          <w:lang w:val="en-US" w:eastAsia="zh-CN" w:bidi="ar-SA"/>
        </w:rPr>
        <w:t>（4）参赛费用。未来材料领域赛不向参赛单位收取任何费用，不统一安排食宿，差旅费、食宿费自理。</w:t>
      </w:r>
    </w:p>
    <w:p w14:paraId="1FB1F4B1">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default" w:ascii="Times New Roman Regular" w:hAnsi="Times New Roman Regular" w:eastAsia="仿宋_GB2312" w:cs="Times New Roman Regular"/>
          <w:b w:val="0"/>
          <w:bCs w:val="0"/>
          <w:spacing w:val="-3"/>
          <w:sz w:val="32"/>
          <w:szCs w:val="32"/>
        </w:rPr>
      </w:pPr>
      <w:bookmarkStart w:id="6" w:name="七、服务政策"/>
      <w:bookmarkEnd w:id="6"/>
      <w:r>
        <w:rPr>
          <w:rFonts w:hint="default" w:ascii="Times New Roman Regular" w:hAnsi="Times New Roman Regular" w:eastAsia="黑体" w:cs="Times New Roman Regular"/>
          <w:b w:val="0"/>
          <w:bCs w:val="0"/>
          <w:sz w:val="32"/>
          <w:szCs w:val="32"/>
        </w:rPr>
        <w:t>七、服务政策</w:t>
      </w:r>
    </w:p>
    <w:p w14:paraId="658FEA88">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楷体" w:cs="Times New Roman Regular"/>
          <w:b w:val="0"/>
          <w:bCs w:val="0"/>
          <w:kern w:val="2"/>
          <w:sz w:val="32"/>
          <w:szCs w:val="32"/>
          <w:highlight w:val="none"/>
          <w:u w:val="none"/>
          <w:lang w:val="en-US" w:eastAsia="zh-CN"/>
        </w:rPr>
        <w:t>（一）政策支持。</w:t>
      </w:r>
      <w:r>
        <w:rPr>
          <w:rFonts w:hint="default" w:ascii="Times New Roman Regular" w:hAnsi="Times New Roman Regular" w:eastAsia="仿宋_GB2312" w:cs="Times New Roman Regular"/>
          <w:b w:val="0"/>
          <w:bCs w:val="0"/>
          <w:sz w:val="32"/>
          <w:szCs w:val="32"/>
          <w:lang w:val="en-US" w:eastAsia="zh-CN"/>
        </w:rPr>
        <w:t>符合条件的优胜项目纳入工业和信息化部未来产业发展优秀典型案例库，在参加对应方向未来产业创新任务揭榜挂帅工作时，择优直接进入线下评审环节。支持符合条件的参赛企业纳入工业和信息化部优质企业梯度培育体系，在高新技术企业认定、科技型中小企业评价等方面，为参赛企业予以重点指导，联合相关单位开展“专精特新”申报、科创板企业上市等综合赋能培训。向科技型企业孵化器推送有需求的项目信息，支持早期企业和团队入孵。择优向国家颠覆性技术创新重点专项推荐优胜项目并争取支持。</w:t>
      </w:r>
    </w:p>
    <w:p w14:paraId="30F1500B">
      <w:pPr>
        <w:keepNext w:val="0"/>
        <w:keepLines w:val="0"/>
        <w:pageBreakBefore w:val="0"/>
        <w:widowControl w:val="0"/>
        <w:numPr>
          <w:ilvl w:val="0"/>
          <w:numId w:val="0"/>
        </w:numPr>
        <w:suppressAutoHyphens/>
        <w:kinsoku/>
        <w:wordWrap/>
        <w:overflowPunct/>
        <w:topLinePunct w:val="0"/>
        <w:autoSpaceDE/>
        <w:autoSpaceDN/>
        <w:bidi w:val="0"/>
        <w:adjustRightInd/>
        <w:snapToGrid w:val="0"/>
        <w:spacing w:before="0" w:after="0" w:line="560" w:lineRule="exact"/>
        <w:ind w:left="0" w:right="0" w:firstLine="640" w:firstLineChars="200"/>
        <w:jc w:val="both"/>
        <w:textAlignment w:val="auto"/>
        <w:outlineLvl w:val="9"/>
        <w:rPr>
          <w:rFonts w:hint="default" w:ascii="Times New Roman Regular" w:hAnsi="Times New Roman Regular" w:eastAsia="仿宋_GB2312" w:cs="Times New Roman Regular"/>
          <w:b w:val="0"/>
          <w:bCs w:val="0"/>
          <w:kern w:val="2"/>
          <w:sz w:val="32"/>
          <w:szCs w:val="32"/>
          <w:highlight w:val="none"/>
          <w:u w:val="none"/>
          <w:lang w:val="en-US" w:eastAsia="zh-CN"/>
        </w:rPr>
      </w:pPr>
      <w:r>
        <w:rPr>
          <w:rFonts w:hint="default" w:ascii="Times New Roman Regular" w:hAnsi="Times New Roman Regular" w:eastAsia="楷体" w:cs="Times New Roman Regular"/>
          <w:b w:val="0"/>
          <w:bCs w:val="0"/>
          <w:kern w:val="2"/>
          <w:sz w:val="32"/>
          <w:szCs w:val="32"/>
          <w:highlight w:val="none"/>
          <w:u w:val="none"/>
          <w:lang w:val="en-US" w:eastAsia="zh-CN"/>
        </w:rPr>
        <w:t>（二）金融服务。</w:t>
      </w:r>
      <w:r>
        <w:rPr>
          <w:rFonts w:hint="default" w:ascii="Times New Roman Regular" w:hAnsi="Times New Roman Regular" w:eastAsia="仿宋_GB2312" w:cs="Times New Roman Regular"/>
          <w:b w:val="0"/>
          <w:bCs w:val="0"/>
          <w:kern w:val="2"/>
          <w:sz w:val="32"/>
          <w:szCs w:val="32"/>
          <w:highlight w:val="none"/>
          <w:u w:val="none"/>
          <w:lang w:val="en-US" w:eastAsia="zh-CN"/>
        </w:rPr>
        <w:t>向国家中小企业发展基金等国家级基金推荐大赛优胜项目，参赛项目择优推荐至基金或金融机构进行融资对接。将大赛优胜项目推送至国家产融合作平台，为企业在优惠信贷、发行债券、上市融资等方面创造便利，大赛合作银行择优给予参赛企业贷款授信支持，优胜项目可获得创新积分加分。</w:t>
      </w:r>
    </w:p>
    <w:p w14:paraId="5B630E9F">
      <w:pPr>
        <w:keepNext w:val="0"/>
        <w:keepLines w:val="0"/>
        <w:pageBreakBefore w:val="0"/>
        <w:widowControl w:val="0"/>
        <w:numPr>
          <w:ilvl w:val="0"/>
          <w:numId w:val="0"/>
        </w:numPr>
        <w:suppressAutoHyphens/>
        <w:kinsoku/>
        <w:wordWrap/>
        <w:overflowPunct/>
        <w:topLinePunct w:val="0"/>
        <w:autoSpaceDE/>
        <w:autoSpaceDN/>
        <w:bidi w:val="0"/>
        <w:adjustRightInd/>
        <w:snapToGrid w:val="0"/>
        <w:spacing w:before="0" w:after="0" w:line="560" w:lineRule="exact"/>
        <w:ind w:left="0" w:right="0" w:firstLine="640" w:firstLineChars="200"/>
        <w:jc w:val="both"/>
        <w:textAlignment w:val="auto"/>
        <w:outlineLvl w:val="9"/>
        <w:rPr>
          <w:rFonts w:hint="default" w:ascii="Times New Roman Regular" w:hAnsi="Times New Roman Regular" w:eastAsia="仿宋_GB2312" w:cs="Times New Roman Regular"/>
          <w:b w:val="0"/>
          <w:bCs w:val="0"/>
          <w:kern w:val="2"/>
          <w:sz w:val="32"/>
          <w:szCs w:val="32"/>
          <w:highlight w:val="none"/>
          <w:u w:val="none"/>
          <w:lang w:val="en-US" w:eastAsia="zh-CN"/>
        </w:rPr>
      </w:pPr>
      <w:r>
        <w:rPr>
          <w:rFonts w:hint="default" w:ascii="Times New Roman Regular" w:hAnsi="Times New Roman Regular" w:eastAsia="楷体" w:cs="Times New Roman Regular"/>
          <w:b w:val="0"/>
          <w:bCs w:val="0"/>
          <w:kern w:val="2"/>
          <w:sz w:val="32"/>
          <w:szCs w:val="32"/>
          <w:highlight w:val="none"/>
          <w:u w:val="none"/>
          <w:lang w:val="en-US" w:eastAsia="zh-CN"/>
        </w:rPr>
        <w:t>（三）人才服务。</w:t>
      </w:r>
      <w:r>
        <w:rPr>
          <w:rFonts w:hint="default" w:ascii="Times New Roman Regular" w:hAnsi="Times New Roman Regular" w:eastAsia="仿宋_GB2312" w:cs="Times New Roman Regular"/>
          <w:b w:val="0"/>
          <w:bCs w:val="0"/>
          <w:kern w:val="2"/>
          <w:sz w:val="32"/>
          <w:szCs w:val="32"/>
          <w:highlight w:val="none"/>
          <w:u w:val="none"/>
          <w:lang w:val="en-US" w:eastAsia="zh-CN"/>
        </w:rPr>
        <w:t>联合相关高校为参赛企业举办创新创业优秀人才招聘，推荐参赛企业参加国家高新区科研助理岗招聘活动。依托“百园百校万企”合作行动，为高新区、企业提供人才服务。</w:t>
      </w:r>
    </w:p>
    <w:p w14:paraId="6443E5CB">
      <w:pPr>
        <w:keepNext w:val="0"/>
        <w:keepLines w:val="0"/>
        <w:pageBreakBefore w:val="0"/>
        <w:widowControl w:val="0"/>
        <w:numPr>
          <w:ilvl w:val="0"/>
          <w:numId w:val="0"/>
        </w:numPr>
        <w:suppressAutoHyphens/>
        <w:kinsoku/>
        <w:wordWrap/>
        <w:overflowPunct/>
        <w:topLinePunct w:val="0"/>
        <w:autoSpaceDE/>
        <w:autoSpaceDN/>
        <w:bidi w:val="0"/>
        <w:adjustRightInd/>
        <w:snapToGrid w:val="0"/>
        <w:spacing w:before="0" w:after="0" w:line="560" w:lineRule="exact"/>
        <w:ind w:left="0" w:right="0" w:firstLine="640" w:firstLineChars="200"/>
        <w:jc w:val="both"/>
        <w:textAlignment w:val="auto"/>
        <w:outlineLvl w:val="9"/>
        <w:rPr>
          <w:rFonts w:hint="default" w:ascii="Times New Roman Regular" w:hAnsi="Times New Roman Regular" w:eastAsia="仿宋_GB2312" w:cs="Times New Roman Regular"/>
          <w:b w:val="0"/>
          <w:bCs w:val="0"/>
          <w:kern w:val="2"/>
          <w:sz w:val="32"/>
          <w:szCs w:val="32"/>
          <w:highlight w:val="none"/>
          <w:u w:val="none"/>
          <w:lang w:val="en-US" w:eastAsia="zh-CN"/>
        </w:rPr>
      </w:pPr>
      <w:r>
        <w:rPr>
          <w:rFonts w:hint="default" w:ascii="Times New Roman Regular" w:hAnsi="Times New Roman Regular" w:eastAsia="楷体" w:cs="Times New Roman Regular"/>
          <w:b w:val="0"/>
          <w:bCs w:val="0"/>
          <w:kern w:val="2"/>
          <w:sz w:val="32"/>
          <w:szCs w:val="32"/>
          <w:highlight w:val="none"/>
          <w:u w:val="none"/>
          <w:lang w:val="en-US" w:eastAsia="zh-CN"/>
        </w:rPr>
        <w:t>（四）信息服务。</w:t>
      </w:r>
      <w:r>
        <w:rPr>
          <w:rFonts w:hint="default" w:ascii="Times New Roman Regular" w:hAnsi="Times New Roman Regular" w:eastAsia="仿宋_GB2312" w:cs="Times New Roman Regular"/>
          <w:b w:val="0"/>
          <w:bCs w:val="0"/>
          <w:kern w:val="2"/>
          <w:sz w:val="32"/>
          <w:szCs w:val="32"/>
          <w:highlight w:val="none"/>
          <w:u w:val="none"/>
          <w:lang w:val="en-US" w:eastAsia="zh-CN"/>
        </w:rPr>
        <w:t>支持参赛企业参加国家高新区新赛道培育行动，定向为优秀参赛单位提供政府招商引资、科研项目指南、市场资源对接等信息。向大型工业企业、科研院所推送优胜项目的成熟产品和技术信息，组织对接活动，促进产学研合作。</w:t>
      </w:r>
    </w:p>
    <w:p w14:paraId="0937D3F3">
      <w:pPr>
        <w:keepNext w:val="0"/>
        <w:keepLines w:val="0"/>
        <w:pageBreakBefore w:val="0"/>
        <w:widowControl w:val="0"/>
        <w:numPr>
          <w:ilvl w:val="0"/>
          <w:numId w:val="0"/>
        </w:numPr>
        <w:suppressAutoHyphens/>
        <w:kinsoku/>
        <w:wordWrap/>
        <w:overflowPunct/>
        <w:topLinePunct w:val="0"/>
        <w:autoSpaceDE/>
        <w:autoSpaceDN/>
        <w:bidi w:val="0"/>
        <w:adjustRightInd/>
        <w:snapToGrid w:val="0"/>
        <w:spacing w:before="0" w:after="0" w:line="560" w:lineRule="exact"/>
        <w:ind w:left="0" w:right="0" w:firstLine="640" w:firstLineChars="200"/>
        <w:jc w:val="both"/>
        <w:textAlignment w:val="auto"/>
        <w:outlineLvl w:val="9"/>
        <w:rPr>
          <w:rFonts w:hint="default" w:ascii="Times New Roman Regular" w:hAnsi="Times New Roman Regular" w:eastAsia="仿宋_GB2312" w:cs="Times New Roman Regular"/>
          <w:b w:val="0"/>
          <w:bCs w:val="0"/>
          <w:kern w:val="2"/>
          <w:sz w:val="32"/>
          <w:szCs w:val="32"/>
          <w:highlight w:val="none"/>
          <w:u w:val="none"/>
          <w:lang w:val="en-US" w:eastAsia="zh-CN"/>
        </w:rPr>
      </w:pPr>
      <w:r>
        <w:rPr>
          <w:rFonts w:hint="default" w:ascii="Times New Roman Regular" w:hAnsi="Times New Roman Regular" w:eastAsia="楷体" w:cs="Times New Roman Regular"/>
          <w:b w:val="0"/>
          <w:bCs w:val="0"/>
          <w:kern w:val="2"/>
          <w:sz w:val="32"/>
          <w:szCs w:val="32"/>
          <w:highlight w:val="none"/>
          <w:u w:val="none"/>
          <w:lang w:val="en-US" w:eastAsia="zh-CN"/>
        </w:rPr>
        <w:t>（五）地方服务。</w:t>
      </w:r>
      <w:r>
        <w:rPr>
          <w:rFonts w:hint="default" w:ascii="Times New Roman Regular" w:hAnsi="Times New Roman Regular" w:eastAsia="仿宋_GB2312" w:cs="Times New Roman Regular"/>
          <w:b w:val="0"/>
          <w:bCs w:val="0"/>
          <w:kern w:val="2"/>
          <w:sz w:val="32"/>
          <w:szCs w:val="32"/>
          <w:highlight w:val="none"/>
          <w:u w:val="none"/>
          <w:lang w:val="en-US" w:eastAsia="zh-CN"/>
        </w:rPr>
        <w:t>全力协调资本、人才、土地等各方资源，集中支持项目落地。常态化组织项目路演对接和未来产业发展交流培训、政策服务等活动，邀请主管部门、行业协会有关负责同志进行指导，为优秀参赛企业提供专项政策宣贯、大企业合作对接、新技术场景应用等增值服务。</w:t>
      </w:r>
    </w:p>
    <w:p w14:paraId="5CE85932">
      <w:pPr>
        <w:keepNext w:val="0"/>
        <w:keepLines w:val="0"/>
        <w:pageBreakBefore w:val="0"/>
        <w:widowControl w:val="0"/>
        <w:numPr>
          <w:ilvl w:val="0"/>
          <w:numId w:val="0"/>
        </w:numPr>
        <w:suppressAutoHyphens/>
        <w:kinsoku/>
        <w:wordWrap/>
        <w:overflowPunct/>
        <w:topLinePunct w:val="0"/>
        <w:autoSpaceDE/>
        <w:autoSpaceDN/>
        <w:bidi w:val="0"/>
        <w:adjustRightInd/>
        <w:snapToGrid w:val="0"/>
        <w:spacing w:before="0" w:after="0" w:line="560" w:lineRule="exact"/>
        <w:ind w:left="0" w:right="0" w:firstLine="640" w:firstLineChars="200"/>
        <w:jc w:val="both"/>
        <w:textAlignment w:val="auto"/>
        <w:outlineLvl w:val="9"/>
        <w:rPr>
          <w:rFonts w:hint="default" w:ascii="Times New Roman Regular" w:hAnsi="Times New Roman Regular" w:eastAsia="仿宋_GB2312" w:cs="Times New Roman Regular"/>
          <w:b w:val="0"/>
          <w:bCs w:val="0"/>
          <w:kern w:val="2"/>
          <w:sz w:val="32"/>
          <w:szCs w:val="32"/>
          <w:highlight w:val="none"/>
          <w:u w:val="none"/>
          <w:lang w:val="en-US" w:eastAsia="zh-CN" w:bidi="ar-SA"/>
        </w:rPr>
      </w:pPr>
      <w:r>
        <w:rPr>
          <w:rFonts w:hint="default" w:ascii="Times New Roman Regular" w:hAnsi="Times New Roman Regular" w:eastAsia="楷体" w:cs="Times New Roman Regular"/>
          <w:b w:val="0"/>
          <w:bCs w:val="0"/>
          <w:kern w:val="2"/>
          <w:sz w:val="32"/>
          <w:szCs w:val="32"/>
          <w:highlight w:val="none"/>
          <w:u w:val="none"/>
          <w:lang w:val="en-US" w:eastAsia="zh-CN"/>
        </w:rPr>
        <w:t>（六）宣传展示。</w:t>
      </w:r>
      <w:r>
        <w:rPr>
          <w:rFonts w:hint="default" w:ascii="Times New Roman Regular" w:hAnsi="Times New Roman Regular" w:eastAsia="仿宋_GB2312" w:cs="Times New Roman Regular"/>
          <w:b w:val="0"/>
          <w:bCs w:val="0"/>
          <w:kern w:val="2"/>
          <w:sz w:val="32"/>
          <w:szCs w:val="32"/>
          <w:highlight w:val="none"/>
          <w:u w:val="none"/>
          <w:lang w:val="en-US" w:eastAsia="zh-CN"/>
        </w:rPr>
        <w:t>通过中国创新创业大赛官网、大赛合作媒体渠道、大赛附属论坛、展览、培训等活动，对赛事进行宣传展示。</w:t>
      </w:r>
    </w:p>
    <w:p w14:paraId="7A89428C">
      <w:pPr>
        <w:wordWrap/>
        <w:ind w:firstLine="640" w:firstLineChars="200"/>
        <w:jc w:val="left"/>
        <w:rPr>
          <w:rFonts w:hint="default"/>
          <w:lang w:val="en-US"/>
        </w:rPr>
      </w:pPr>
      <w:r>
        <w:rPr>
          <w:rFonts w:hint="default" w:ascii="Times New Roman Regular" w:hAnsi="Times New Roman Regular" w:eastAsia="仿宋_GB2312" w:cs="Times New Roman Regular"/>
          <w:b w:val="0"/>
          <w:bCs w:val="0"/>
          <w:kern w:val="2"/>
          <w:sz w:val="32"/>
          <w:szCs w:val="32"/>
          <w:highlight w:val="none"/>
          <w:u w:val="none"/>
          <w:lang w:val="en-US" w:eastAsia="zh-CN" w:bidi="ar-SA"/>
        </w:rPr>
        <w:t>联系人：贺庆15547335545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603050405020304"/>
    <w:charset w:val="00"/>
    <w:family w:val="auto"/>
    <w:pitch w:val="default"/>
    <w:sig w:usb0="E0002AEF" w:usb1="C0007841"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EA3EE"/>
    <w:rsid w:val="1B9F55C1"/>
    <w:rsid w:val="7D6EA3EE"/>
    <w:rsid w:val="C7F70D3F"/>
    <w:rsid w:val="FDE2C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0"/>
      <w:ind w:left="120"/>
    </w:pPr>
    <w:rPr>
      <w:rFonts w:ascii="宋体" w:hAnsi="宋体" w:eastAsia="宋体" w:cs="宋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2025-09-02T14:58:00Z</dcterms:created>
  <dc:creator>廖梓君</dc:creator>
  <cp:lastModifiedBy>廖梓君</cp:lastModifiedBy>
  <dcterms:modified xsi:type="dcterms:W3CDTF">2025-09-02T15:13:58Z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46E987D8DFB151223699B668C011A04A_43</vt:lpwstr>
  </property>
</Properties>
</file>